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DD3" w:rsidRPr="006D4488" w:rsidRDefault="00CB4DD3" w:rsidP="00070389">
      <w:pPr>
        <w:spacing w:line="240" w:lineRule="auto"/>
        <w:rPr>
          <w:rFonts w:cstheme="minorHAnsi"/>
          <w:b/>
        </w:rPr>
      </w:pPr>
      <w:r w:rsidRPr="006D4488">
        <w:rPr>
          <w:rFonts w:cstheme="minorHAnsi"/>
          <w:b/>
        </w:rPr>
        <w:t>NC State College of Education</w:t>
      </w:r>
    </w:p>
    <w:p w:rsidR="003F7BD0" w:rsidRPr="006D4488" w:rsidRDefault="00070389" w:rsidP="00070389">
      <w:pPr>
        <w:spacing w:line="240" w:lineRule="auto"/>
        <w:rPr>
          <w:rFonts w:cstheme="minorHAnsi"/>
          <w:b/>
        </w:rPr>
      </w:pPr>
      <w:r w:rsidRPr="006D4488">
        <w:rPr>
          <w:rFonts w:cstheme="minorHAnsi"/>
          <w:b/>
        </w:rPr>
        <w:t>Supplemental Pay/</w:t>
      </w:r>
      <w:r w:rsidR="00E02C6B" w:rsidRPr="006D4488">
        <w:rPr>
          <w:rFonts w:cstheme="minorHAnsi"/>
          <w:b/>
        </w:rPr>
        <w:t>Additional Compensation</w:t>
      </w:r>
      <w:r w:rsidR="00A10C8D" w:rsidRPr="006D4488">
        <w:rPr>
          <w:rFonts w:cstheme="minorHAnsi"/>
          <w:b/>
        </w:rPr>
        <w:tab/>
      </w:r>
      <w:r w:rsidR="00A10C8D" w:rsidRPr="006D4488">
        <w:rPr>
          <w:rFonts w:cstheme="minorHAnsi"/>
          <w:sz w:val="18"/>
          <w:szCs w:val="18"/>
        </w:rPr>
        <w:t>(February</w:t>
      </w:r>
      <w:r w:rsidR="00FA055F">
        <w:rPr>
          <w:rFonts w:cstheme="minorHAnsi"/>
          <w:sz w:val="18"/>
          <w:szCs w:val="18"/>
        </w:rPr>
        <w:t xml:space="preserve"> 16</w:t>
      </w:r>
      <w:bookmarkStart w:id="0" w:name="_GoBack"/>
      <w:bookmarkEnd w:id="0"/>
      <w:r w:rsidR="00A10C8D" w:rsidRPr="006D4488">
        <w:rPr>
          <w:rFonts w:cstheme="minorHAnsi"/>
          <w:sz w:val="18"/>
          <w:szCs w:val="18"/>
        </w:rPr>
        <w:t>, 2012)</w:t>
      </w:r>
    </w:p>
    <w:p w:rsidR="00070389" w:rsidRPr="006D4488" w:rsidRDefault="00070389" w:rsidP="00070389">
      <w:pPr>
        <w:spacing w:line="240" w:lineRule="auto"/>
        <w:rPr>
          <w:rFonts w:cstheme="minorHAnsi"/>
          <w:b/>
          <w:sz w:val="20"/>
          <w:szCs w:val="20"/>
        </w:rPr>
      </w:pPr>
    </w:p>
    <w:p w:rsidR="00CB7F64" w:rsidRPr="006D4488" w:rsidRDefault="00CC1073" w:rsidP="006E73EF">
      <w:pPr>
        <w:pStyle w:val="BodyText2"/>
        <w:widowControl/>
        <w:tabs>
          <w:tab w:val="left" w:pos="270"/>
        </w:tabs>
        <w:autoSpaceDE/>
        <w:autoSpaceDN/>
        <w:adjustRightInd/>
        <w:spacing w:line="276" w:lineRule="auto"/>
        <w:jc w:val="left"/>
        <w:rPr>
          <w:rFonts w:asciiTheme="minorHAnsi" w:hAnsiTheme="minorHAnsi" w:cstheme="minorHAnsi"/>
          <w:sz w:val="20"/>
        </w:rPr>
      </w:pPr>
      <w:r w:rsidRPr="006D4488">
        <w:rPr>
          <w:rFonts w:asciiTheme="minorHAnsi" w:hAnsiTheme="minorHAnsi" w:cstheme="minorHAnsi"/>
          <w:b/>
          <w:sz w:val="20"/>
        </w:rPr>
        <w:t>Context &amp; Philosophy:</w:t>
      </w:r>
      <w:r w:rsidR="0068368F" w:rsidRPr="006D4488">
        <w:rPr>
          <w:rFonts w:asciiTheme="minorHAnsi" w:hAnsiTheme="minorHAnsi" w:cstheme="minorHAnsi"/>
          <w:sz w:val="20"/>
        </w:rPr>
        <w:t xml:space="preserve">  The College of Education recognizes that certain circumstances may exist to justify the award of supplemental pay to EPA employees.  This document sets forth the conditions under which a supervisor may approve supplemental pay for EPA employees and the approval request</w:t>
      </w:r>
      <w:r w:rsidR="006E73EF" w:rsidRPr="006D4488">
        <w:rPr>
          <w:rFonts w:asciiTheme="minorHAnsi" w:hAnsiTheme="minorHAnsi" w:cstheme="minorHAnsi"/>
          <w:sz w:val="20"/>
        </w:rPr>
        <w:t xml:space="preserve"> process that must be followed as per NC State REG 05.20.14, Supplemental Pay for EPA Employees.  </w:t>
      </w:r>
      <w:r w:rsidR="0068368F" w:rsidRPr="006D4488">
        <w:rPr>
          <w:rFonts w:asciiTheme="minorHAnsi" w:hAnsiTheme="minorHAnsi" w:cstheme="minorHAnsi"/>
          <w:sz w:val="20"/>
        </w:rPr>
        <w:t xml:space="preserve">“Supplemental pay” is defined as compensation in excess of an EPA employee’s annual salary that is paid by NC State to the EPA employee for </w:t>
      </w:r>
      <w:r w:rsidR="0068368F" w:rsidRPr="006D4488">
        <w:rPr>
          <w:rFonts w:asciiTheme="minorHAnsi" w:hAnsiTheme="minorHAnsi" w:cstheme="minorHAnsi"/>
          <w:i/>
          <w:sz w:val="20"/>
        </w:rPr>
        <w:t>temporary</w:t>
      </w:r>
      <w:r w:rsidR="0068368F" w:rsidRPr="006D4488">
        <w:rPr>
          <w:rFonts w:asciiTheme="minorHAnsi" w:hAnsiTheme="minorHAnsi" w:cstheme="minorHAnsi"/>
          <w:sz w:val="20"/>
        </w:rPr>
        <w:t xml:space="preserve"> increases in responsibility and/or extra duties beyond the scope of the employee's contract/appointment.  </w:t>
      </w:r>
      <w:r w:rsidR="006E73EF" w:rsidRPr="006D4488">
        <w:rPr>
          <w:rFonts w:asciiTheme="minorHAnsi" w:hAnsiTheme="minorHAnsi" w:cstheme="minorHAnsi"/>
          <w:sz w:val="20"/>
        </w:rPr>
        <w:t>The maximum supplemental pay that may be received during a contract/appointment period is limited to 20% of the annual salary (use 1.0 FTE equivalent) of that period unless appropriate Executive Officer approval is obtained</w:t>
      </w:r>
      <w:r w:rsidR="006E73EF" w:rsidRPr="006D4488">
        <w:t xml:space="preserve">.  </w:t>
      </w:r>
      <w:r w:rsidR="0068368F" w:rsidRPr="006D4488">
        <w:rPr>
          <w:rFonts w:asciiTheme="minorHAnsi" w:hAnsiTheme="minorHAnsi" w:cstheme="minorHAnsi"/>
          <w:sz w:val="20"/>
        </w:rPr>
        <w:t xml:space="preserve">Supplemental pay, then, is a time-limited solution to a temporary situation.  </w:t>
      </w:r>
      <w:r w:rsidR="001A375A" w:rsidRPr="006D4488">
        <w:rPr>
          <w:rFonts w:asciiTheme="minorHAnsi" w:hAnsiTheme="minorHAnsi" w:cstheme="minorHAnsi"/>
          <w:sz w:val="20"/>
        </w:rPr>
        <w:t xml:space="preserve">Should </w:t>
      </w:r>
      <w:r w:rsidR="0068368F" w:rsidRPr="006D4488">
        <w:rPr>
          <w:rFonts w:asciiTheme="minorHAnsi" w:hAnsiTheme="minorHAnsi" w:cstheme="minorHAnsi"/>
          <w:sz w:val="20"/>
        </w:rPr>
        <w:t xml:space="preserve">a situation </w:t>
      </w:r>
      <w:r w:rsidR="001A375A" w:rsidRPr="006D4488">
        <w:rPr>
          <w:rFonts w:asciiTheme="minorHAnsi" w:hAnsiTheme="minorHAnsi" w:cstheme="minorHAnsi"/>
          <w:sz w:val="20"/>
        </w:rPr>
        <w:t>become</w:t>
      </w:r>
      <w:r w:rsidR="0068368F" w:rsidRPr="006D4488">
        <w:rPr>
          <w:rFonts w:asciiTheme="minorHAnsi" w:hAnsiTheme="minorHAnsi" w:cstheme="minorHAnsi"/>
          <w:sz w:val="20"/>
        </w:rPr>
        <w:t xml:space="preserve"> permanent, a permanent solution should be sought (e.g., salary adjustment du</w:t>
      </w:r>
      <w:r w:rsidR="001A375A" w:rsidRPr="006D4488">
        <w:rPr>
          <w:rFonts w:asciiTheme="minorHAnsi" w:hAnsiTheme="minorHAnsi" w:cstheme="minorHAnsi"/>
          <w:sz w:val="20"/>
        </w:rPr>
        <w:t>e to increased responsibilities,</w:t>
      </w:r>
      <w:r w:rsidR="0068368F" w:rsidRPr="006D4488">
        <w:rPr>
          <w:rFonts w:asciiTheme="minorHAnsi" w:hAnsiTheme="minorHAnsi" w:cstheme="minorHAnsi"/>
          <w:sz w:val="20"/>
        </w:rPr>
        <w:t xml:space="preserve"> </w:t>
      </w:r>
      <w:r w:rsidR="001A375A" w:rsidRPr="006D4488">
        <w:rPr>
          <w:rFonts w:asciiTheme="minorHAnsi" w:hAnsiTheme="minorHAnsi" w:cstheme="minorHAnsi"/>
          <w:sz w:val="20"/>
        </w:rPr>
        <w:t>adjustment of position responsibilities to accommodate the “extra” duties, a</w:t>
      </w:r>
      <w:r w:rsidR="008B02A2" w:rsidRPr="006D4488">
        <w:rPr>
          <w:rFonts w:asciiTheme="minorHAnsi" w:hAnsiTheme="minorHAnsi" w:cstheme="minorHAnsi"/>
          <w:sz w:val="20"/>
        </w:rPr>
        <w:t>nd/or hiring additional personnel</w:t>
      </w:r>
      <w:r w:rsidR="001A375A" w:rsidRPr="006D4488">
        <w:rPr>
          <w:rFonts w:asciiTheme="minorHAnsi" w:hAnsiTheme="minorHAnsi" w:cstheme="minorHAnsi"/>
          <w:sz w:val="20"/>
        </w:rPr>
        <w:t>).</w:t>
      </w:r>
      <w:r w:rsidR="00CB7F64" w:rsidRPr="006D4488">
        <w:rPr>
          <w:rFonts w:asciiTheme="minorHAnsi" w:hAnsiTheme="minorHAnsi" w:cstheme="minorHAnsi"/>
          <w:sz w:val="20"/>
        </w:rPr>
        <w:t xml:space="preserve">  This document does not cover compensation paid by NC State to faculty with academic year appointments for work done outside of the employee’s annual contract/appointment period and annual contract/appointment obligations, which is governed by </w:t>
      </w:r>
      <w:hyperlink r:id="rId7" w:history="1">
        <w:r w:rsidR="00CB7F64" w:rsidRPr="006D4488">
          <w:rPr>
            <w:rStyle w:val="Hyperlink"/>
            <w:rFonts w:asciiTheme="minorHAnsi" w:hAnsiTheme="minorHAnsi" w:cstheme="minorHAnsi"/>
            <w:sz w:val="20"/>
          </w:rPr>
          <w:t>NCSU REG05.20.35 - Summer Salary for EPA Employees</w:t>
        </w:r>
      </w:hyperlink>
      <w:r w:rsidR="00CB7F64" w:rsidRPr="006D4488">
        <w:rPr>
          <w:rFonts w:asciiTheme="minorHAnsi" w:hAnsiTheme="minorHAnsi" w:cstheme="minorHAnsi"/>
          <w:sz w:val="20"/>
        </w:rPr>
        <w:t>.</w:t>
      </w:r>
    </w:p>
    <w:p w:rsidR="00CB7F64" w:rsidRPr="006D4488" w:rsidRDefault="00CB7F64" w:rsidP="00CB7F64">
      <w:pPr>
        <w:pStyle w:val="BodyText2"/>
        <w:widowControl/>
        <w:tabs>
          <w:tab w:val="left" w:pos="270"/>
        </w:tabs>
        <w:autoSpaceDE/>
        <w:autoSpaceDN/>
        <w:adjustRightInd/>
        <w:spacing w:line="276" w:lineRule="auto"/>
        <w:jc w:val="left"/>
        <w:rPr>
          <w:rFonts w:asciiTheme="minorHAnsi" w:hAnsiTheme="minorHAnsi" w:cstheme="minorHAnsi"/>
          <w:sz w:val="20"/>
        </w:rPr>
      </w:pPr>
    </w:p>
    <w:p w:rsidR="00CB7F64" w:rsidRPr="006D4488" w:rsidRDefault="00352801" w:rsidP="00CB7F64">
      <w:pPr>
        <w:pStyle w:val="BodyText2"/>
        <w:widowControl/>
        <w:tabs>
          <w:tab w:val="left" w:pos="270"/>
        </w:tabs>
        <w:autoSpaceDE/>
        <w:autoSpaceDN/>
        <w:adjustRightInd/>
        <w:spacing w:line="276" w:lineRule="auto"/>
        <w:jc w:val="left"/>
        <w:rPr>
          <w:rFonts w:asciiTheme="minorHAnsi" w:hAnsiTheme="minorHAnsi" w:cstheme="minorHAnsi"/>
          <w:sz w:val="20"/>
        </w:rPr>
      </w:pPr>
      <w:r w:rsidRPr="006D4488">
        <w:rPr>
          <w:rFonts w:asciiTheme="minorHAnsi" w:hAnsiTheme="minorHAnsi" w:cstheme="minorHAnsi"/>
          <w:b/>
          <w:sz w:val="20"/>
        </w:rPr>
        <w:t>P</w:t>
      </w:r>
      <w:r w:rsidR="00CB7F64" w:rsidRPr="006D4488">
        <w:rPr>
          <w:rFonts w:asciiTheme="minorHAnsi" w:hAnsiTheme="minorHAnsi" w:cstheme="minorHAnsi"/>
          <w:b/>
          <w:sz w:val="20"/>
        </w:rPr>
        <w:t>rior to the time the additional duties begin</w:t>
      </w:r>
      <w:r w:rsidRPr="006D4488">
        <w:rPr>
          <w:rFonts w:asciiTheme="minorHAnsi" w:hAnsiTheme="minorHAnsi" w:cstheme="minorHAnsi"/>
          <w:sz w:val="20"/>
        </w:rPr>
        <w:t xml:space="preserve"> </w:t>
      </w:r>
      <w:r w:rsidRPr="006D4488">
        <w:rPr>
          <w:rFonts w:asciiTheme="minorHAnsi" w:hAnsiTheme="minorHAnsi" w:cstheme="minorHAnsi"/>
          <w:b/>
          <w:sz w:val="20"/>
        </w:rPr>
        <w:t>supplemental pay must be approved in writing</w:t>
      </w:r>
      <w:r w:rsidR="00CB7F64" w:rsidRPr="006D4488">
        <w:rPr>
          <w:rFonts w:asciiTheme="minorHAnsi" w:hAnsiTheme="minorHAnsi" w:cstheme="minorHAnsi"/>
          <w:b/>
          <w:sz w:val="20"/>
        </w:rPr>
        <w:t xml:space="preserve"> by:</w:t>
      </w:r>
    </w:p>
    <w:p w:rsidR="00CB7F64" w:rsidRPr="006D4488" w:rsidRDefault="00CB7F64" w:rsidP="00352801">
      <w:pPr>
        <w:pStyle w:val="BodyText2"/>
        <w:widowControl/>
        <w:numPr>
          <w:ilvl w:val="0"/>
          <w:numId w:val="2"/>
        </w:numPr>
        <w:tabs>
          <w:tab w:val="left" w:pos="360"/>
        </w:tabs>
        <w:autoSpaceDE/>
        <w:autoSpaceDN/>
        <w:adjustRightInd/>
        <w:spacing w:line="276" w:lineRule="auto"/>
        <w:ind w:left="360" w:hanging="270"/>
        <w:jc w:val="left"/>
        <w:rPr>
          <w:rFonts w:asciiTheme="minorHAnsi" w:hAnsiTheme="minorHAnsi" w:cstheme="minorHAnsi"/>
          <w:sz w:val="20"/>
        </w:rPr>
      </w:pPr>
      <w:r w:rsidRPr="006D4488">
        <w:rPr>
          <w:rFonts w:asciiTheme="minorHAnsi" w:hAnsiTheme="minorHAnsi" w:cstheme="minorHAnsi"/>
          <w:sz w:val="20"/>
        </w:rPr>
        <w:t>the unit head of the department where the duties are to be performed (if different from the home unit), and</w:t>
      </w:r>
    </w:p>
    <w:p w:rsidR="00CB7F64" w:rsidRPr="006D4488" w:rsidRDefault="00CB7F64" w:rsidP="00352801">
      <w:pPr>
        <w:pStyle w:val="BodyText2"/>
        <w:widowControl/>
        <w:numPr>
          <w:ilvl w:val="0"/>
          <w:numId w:val="2"/>
        </w:numPr>
        <w:tabs>
          <w:tab w:val="left" w:pos="360"/>
        </w:tabs>
        <w:autoSpaceDE/>
        <w:autoSpaceDN/>
        <w:adjustRightInd/>
        <w:spacing w:line="276" w:lineRule="auto"/>
        <w:ind w:left="360" w:hanging="270"/>
        <w:jc w:val="left"/>
        <w:rPr>
          <w:rFonts w:asciiTheme="minorHAnsi" w:hAnsiTheme="minorHAnsi" w:cstheme="minorHAnsi"/>
          <w:sz w:val="20"/>
        </w:rPr>
      </w:pPr>
      <w:r w:rsidRPr="006D4488">
        <w:rPr>
          <w:rFonts w:asciiTheme="minorHAnsi" w:hAnsiTheme="minorHAnsi" w:cstheme="minorHAnsi"/>
          <w:sz w:val="20"/>
        </w:rPr>
        <w:t>the unit head where the employee's regular appointment lies, and</w:t>
      </w:r>
    </w:p>
    <w:p w:rsidR="00CB7F64" w:rsidRPr="006D4488" w:rsidRDefault="00CB7F64" w:rsidP="00352801">
      <w:pPr>
        <w:pStyle w:val="BodyText2"/>
        <w:widowControl/>
        <w:numPr>
          <w:ilvl w:val="0"/>
          <w:numId w:val="2"/>
        </w:numPr>
        <w:tabs>
          <w:tab w:val="left" w:pos="360"/>
        </w:tabs>
        <w:autoSpaceDE/>
        <w:autoSpaceDN/>
        <w:adjustRightInd/>
        <w:spacing w:line="276" w:lineRule="auto"/>
        <w:ind w:left="360" w:hanging="270"/>
        <w:jc w:val="left"/>
        <w:rPr>
          <w:rFonts w:asciiTheme="minorHAnsi" w:hAnsiTheme="minorHAnsi" w:cstheme="minorHAnsi"/>
          <w:sz w:val="20"/>
        </w:rPr>
      </w:pPr>
      <w:r w:rsidRPr="006D4488">
        <w:rPr>
          <w:rFonts w:asciiTheme="minorHAnsi" w:hAnsiTheme="minorHAnsi" w:cstheme="minorHAnsi"/>
          <w:sz w:val="20"/>
        </w:rPr>
        <w:t>the dean/director or designee where the employee's regular appointment lies, and</w:t>
      </w:r>
    </w:p>
    <w:p w:rsidR="00CB7F64" w:rsidRPr="006D4488" w:rsidRDefault="00CB7F64" w:rsidP="00352801">
      <w:pPr>
        <w:pStyle w:val="BodyText2"/>
        <w:widowControl/>
        <w:numPr>
          <w:ilvl w:val="0"/>
          <w:numId w:val="2"/>
        </w:numPr>
        <w:tabs>
          <w:tab w:val="left" w:pos="360"/>
        </w:tabs>
        <w:autoSpaceDE/>
        <w:autoSpaceDN/>
        <w:adjustRightInd/>
        <w:spacing w:line="276" w:lineRule="auto"/>
        <w:ind w:left="360" w:hanging="270"/>
        <w:jc w:val="left"/>
        <w:rPr>
          <w:rFonts w:asciiTheme="minorHAnsi" w:hAnsiTheme="minorHAnsi" w:cstheme="minorHAnsi"/>
          <w:sz w:val="20"/>
        </w:rPr>
      </w:pPr>
      <w:r w:rsidRPr="006D4488">
        <w:rPr>
          <w:rFonts w:asciiTheme="minorHAnsi" w:hAnsiTheme="minorHAnsi" w:cstheme="minorHAnsi"/>
          <w:sz w:val="20"/>
        </w:rPr>
        <w:t xml:space="preserve">employees receiving supplemental pay from sponsored programs </w:t>
      </w:r>
      <w:r w:rsidR="007B4D92" w:rsidRPr="006D4488">
        <w:rPr>
          <w:rFonts w:asciiTheme="minorHAnsi" w:hAnsiTheme="minorHAnsi" w:cstheme="minorHAnsi"/>
          <w:sz w:val="20"/>
        </w:rPr>
        <w:t>require</w:t>
      </w:r>
      <w:r w:rsidRPr="006D4488">
        <w:rPr>
          <w:rFonts w:asciiTheme="minorHAnsi" w:hAnsiTheme="minorHAnsi" w:cstheme="minorHAnsi"/>
          <w:sz w:val="20"/>
        </w:rPr>
        <w:t xml:space="preserve"> prior approval from the sponsoring agency (see OMB Circular A21 Section J.10.d(1)), and </w:t>
      </w:r>
    </w:p>
    <w:p w:rsidR="0068368F" w:rsidRPr="006D4488" w:rsidRDefault="00CB7F64" w:rsidP="00352801">
      <w:pPr>
        <w:pStyle w:val="BodyText2"/>
        <w:widowControl/>
        <w:numPr>
          <w:ilvl w:val="0"/>
          <w:numId w:val="2"/>
        </w:numPr>
        <w:tabs>
          <w:tab w:val="left" w:pos="360"/>
        </w:tabs>
        <w:autoSpaceDE/>
        <w:autoSpaceDN/>
        <w:adjustRightInd/>
        <w:spacing w:line="276" w:lineRule="auto"/>
        <w:ind w:left="360" w:hanging="270"/>
        <w:jc w:val="left"/>
        <w:rPr>
          <w:rFonts w:asciiTheme="minorHAnsi" w:hAnsiTheme="minorHAnsi" w:cstheme="minorHAnsi"/>
          <w:sz w:val="20"/>
        </w:rPr>
      </w:pPr>
      <w:r w:rsidRPr="006D4488">
        <w:rPr>
          <w:rFonts w:asciiTheme="minorHAnsi" w:hAnsiTheme="minorHAnsi" w:cstheme="minorHAnsi"/>
          <w:sz w:val="20"/>
        </w:rPr>
        <w:t>approved requests must be submitted to Human Resources for review and processing.</w:t>
      </w:r>
    </w:p>
    <w:p w:rsidR="001A375A" w:rsidRPr="006D4488" w:rsidRDefault="001A375A" w:rsidP="0068368F">
      <w:pPr>
        <w:pStyle w:val="BodyText2"/>
        <w:widowControl/>
        <w:tabs>
          <w:tab w:val="left" w:pos="270"/>
        </w:tabs>
        <w:autoSpaceDE/>
        <w:autoSpaceDN/>
        <w:adjustRightInd/>
        <w:spacing w:line="276" w:lineRule="auto"/>
        <w:jc w:val="left"/>
        <w:rPr>
          <w:rFonts w:asciiTheme="minorHAnsi" w:hAnsiTheme="minorHAnsi" w:cstheme="minorHAnsi"/>
          <w:sz w:val="20"/>
        </w:rPr>
      </w:pPr>
    </w:p>
    <w:p w:rsidR="0068368F" w:rsidRPr="006D4488" w:rsidRDefault="00352801" w:rsidP="0068368F">
      <w:pPr>
        <w:pStyle w:val="BodyText2"/>
        <w:widowControl/>
        <w:tabs>
          <w:tab w:val="left" w:pos="270"/>
        </w:tabs>
        <w:autoSpaceDE/>
        <w:autoSpaceDN/>
        <w:adjustRightInd/>
        <w:spacing w:line="276" w:lineRule="auto"/>
        <w:jc w:val="left"/>
        <w:rPr>
          <w:rFonts w:asciiTheme="minorHAnsi" w:hAnsiTheme="minorHAnsi" w:cstheme="minorHAnsi"/>
          <w:b/>
          <w:sz w:val="20"/>
        </w:rPr>
      </w:pPr>
      <w:r w:rsidRPr="006D4488">
        <w:rPr>
          <w:rFonts w:asciiTheme="minorHAnsi" w:hAnsiTheme="minorHAnsi" w:cstheme="minorHAnsi"/>
          <w:b/>
          <w:sz w:val="20"/>
        </w:rPr>
        <w:t>General CED Practice is as Follows:</w:t>
      </w:r>
    </w:p>
    <w:p w:rsidR="00E02C6B" w:rsidRPr="006D4488" w:rsidRDefault="00E02C6B">
      <w:pPr>
        <w:rPr>
          <w:rFonts w:cstheme="minorHAnsi"/>
          <w:sz w:val="20"/>
          <w:szCs w:val="20"/>
        </w:rPr>
      </w:pPr>
    </w:p>
    <w:tbl>
      <w:tblPr>
        <w:tblStyle w:val="TableGrid"/>
        <w:tblW w:w="0" w:type="auto"/>
        <w:tblLook w:val="04A0"/>
      </w:tblPr>
      <w:tblGrid>
        <w:gridCol w:w="2718"/>
        <w:gridCol w:w="3870"/>
        <w:gridCol w:w="2988"/>
      </w:tblGrid>
      <w:tr w:rsidR="00E02C6B" w:rsidRPr="006D4488" w:rsidTr="00A960D9">
        <w:trPr>
          <w:trHeight w:val="278"/>
        </w:trPr>
        <w:tc>
          <w:tcPr>
            <w:tcW w:w="2718" w:type="dxa"/>
          </w:tcPr>
          <w:p w:rsidR="00E02C6B" w:rsidRPr="006D4488" w:rsidRDefault="00E02C6B" w:rsidP="00A960D9">
            <w:pPr>
              <w:jc w:val="center"/>
              <w:rPr>
                <w:rFonts w:cstheme="minorHAnsi"/>
                <w:b/>
                <w:sz w:val="18"/>
                <w:szCs w:val="18"/>
              </w:rPr>
            </w:pPr>
            <w:r w:rsidRPr="006D4488">
              <w:rPr>
                <w:rFonts w:cstheme="minorHAnsi"/>
                <w:b/>
                <w:sz w:val="18"/>
                <w:szCs w:val="18"/>
              </w:rPr>
              <w:t>Employee</w:t>
            </w:r>
          </w:p>
        </w:tc>
        <w:tc>
          <w:tcPr>
            <w:tcW w:w="3870" w:type="dxa"/>
          </w:tcPr>
          <w:p w:rsidR="00E02C6B" w:rsidRPr="006D4488" w:rsidRDefault="00E02C6B" w:rsidP="00A960D9">
            <w:pPr>
              <w:jc w:val="center"/>
              <w:rPr>
                <w:rFonts w:cstheme="minorHAnsi"/>
                <w:b/>
                <w:sz w:val="18"/>
                <w:szCs w:val="18"/>
              </w:rPr>
            </w:pPr>
            <w:r w:rsidRPr="006D4488">
              <w:rPr>
                <w:rFonts w:cstheme="minorHAnsi"/>
                <w:b/>
                <w:sz w:val="18"/>
                <w:szCs w:val="18"/>
              </w:rPr>
              <w:t>Standard Practice</w:t>
            </w:r>
          </w:p>
        </w:tc>
        <w:tc>
          <w:tcPr>
            <w:tcW w:w="2988" w:type="dxa"/>
          </w:tcPr>
          <w:p w:rsidR="00E02C6B" w:rsidRPr="006D4488" w:rsidRDefault="00E02C6B" w:rsidP="00A960D9">
            <w:pPr>
              <w:jc w:val="center"/>
              <w:rPr>
                <w:rFonts w:cstheme="minorHAnsi"/>
                <w:b/>
                <w:sz w:val="18"/>
                <w:szCs w:val="18"/>
              </w:rPr>
            </w:pPr>
            <w:r w:rsidRPr="006D4488">
              <w:rPr>
                <w:rFonts w:cstheme="minorHAnsi"/>
                <w:b/>
                <w:sz w:val="18"/>
                <w:szCs w:val="18"/>
              </w:rPr>
              <w:t>Approvals</w:t>
            </w:r>
          </w:p>
        </w:tc>
      </w:tr>
      <w:tr w:rsidR="00E02C6B" w:rsidRPr="006D4488" w:rsidTr="00A960D9">
        <w:tc>
          <w:tcPr>
            <w:tcW w:w="2718" w:type="dxa"/>
          </w:tcPr>
          <w:p w:rsidR="00E02C6B" w:rsidRPr="006D4488" w:rsidRDefault="00E02C6B" w:rsidP="00BB28E9">
            <w:pPr>
              <w:rPr>
                <w:rFonts w:cstheme="minorHAnsi"/>
                <w:sz w:val="18"/>
                <w:szCs w:val="18"/>
              </w:rPr>
            </w:pPr>
            <w:r w:rsidRPr="006D4488">
              <w:rPr>
                <w:rFonts w:cstheme="minorHAnsi"/>
                <w:sz w:val="18"/>
                <w:szCs w:val="18"/>
              </w:rPr>
              <w:t>Par</w:t>
            </w:r>
            <w:r w:rsidR="0022399C" w:rsidRPr="006D4488">
              <w:rPr>
                <w:rFonts w:cstheme="minorHAnsi"/>
                <w:sz w:val="18"/>
                <w:szCs w:val="18"/>
              </w:rPr>
              <w:t xml:space="preserve">t-Time </w:t>
            </w:r>
            <w:r w:rsidR="00BB28E9" w:rsidRPr="006D4488">
              <w:rPr>
                <w:rFonts w:cstheme="minorHAnsi"/>
                <w:sz w:val="18"/>
                <w:szCs w:val="18"/>
              </w:rPr>
              <w:t>NTT</w:t>
            </w:r>
            <w:r w:rsidR="0022399C" w:rsidRPr="006D4488">
              <w:rPr>
                <w:rFonts w:cstheme="minorHAnsi"/>
                <w:sz w:val="18"/>
                <w:szCs w:val="18"/>
              </w:rPr>
              <w:t xml:space="preserve"> Faculty</w:t>
            </w:r>
          </w:p>
        </w:tc>
        <w:tc>
          <w:tcPr>
            <w:tcW w:w="3870" w:type="dxa"/>
          </w:tcPr>
          <w:p w:rsidR="00E02C6B" w:rsidRPr="006D4488" w:rsidRDefault="006B182B">
            <w:pPr>
              <w:rPr>
                <w:rFonts w:cstheme="minorHAnsi"/>
                <w:sz w:val="18"/>
                <w:szCs w:val="18"/>
              </w:rPr>
            </w:pPr>
            <w:r w:rsidRPr="006D4488">
              <w:rPr>
                <w:rFonts w:cstheme="minorHAnsi"/>
                <w:sz w:val="18"/>
                <w:szCs w:val="18"/>
              </w:rPr>
              <w:t xml:space="preserve">Additional duties may be assigned up to 1.0 FTE </w:t>
            </w:r>
            <w:r w:rsidR="0022399C" w:rsidRPr="006D4488">
              <w:rPr>
                <w:rFonts w:cstheme="minorHAnsi"/>
                <w:sz w:val="18"/>
                <w:szCs w:val="18"/>
              </w:rPr>
              <w:t>with additional compensation proportional to the increase in FTE</w:t>
            </w:r>
          </w:p>
        </w:tc>
        <w:tc>
          <w:tcPr>
            <w:tcW w:w="2988" w:type="dxa"/>
          </w:tcPr>
          <w:p w:rsidR="00E02C6B" w:rsidRPr="006D4488" w:rsidRDefault="00070389">
            <w:pPr>
              <w:rPr>
                <w:rFonts w:cstheme="minorHAnsi"/>
                <w:sz w:val="18"/>
                <w:szCs w:val="18"/>
              </w:rPr>
            </w:pPr>
            <w:r w:rsidRPr="006D4488">
              <w:rPr>
                <w:rFonts w:cstheme="minorHAnsi"/>
                <w:sz w:val="18"/>
                <w:szCs w:val="18"/>
              </w:rPr>
              <w:t>Head of unit</w:t>
            </w:r>
            <w:r w:rsidR="0022399C" w:rsidRPr="006D4488">
              <w:rPr>
                <w:rFonts w:cstheme="minorHAnsi"/>
                <w:sz w:val="18"/>
                <w:szCs w:val="18"/>
              </w:rPr>
              <w:t xml:space="preserve"> requesting service</w:t>
            </w:r>
          </w:p>
          <w:p w:rsidR="0022399C" w:rsidRPr="006D4488" w:rsidRDefault="00070389">
            <w:pPr>
              <w:rPr>
                <w:rFonts w:cstheme="minorHAnsi"/>
                <w:sz w:val="18"/>
                <w:szCs w:val="18"/>
              </w:rPr>
            </w:pPr>
            <w:r w:rsidRPr="006D4488">
              <w:rPr>
                <w:rFonts w:cstheme="minorHAnsi"/>
                <w:sz w:val="18"/>
                <w:szCs w:val="18"/>
              </w:rPr>
              <w:t>Head of employee’s unit</w:t>
            </w:r>
          </w:p>
          <w:p w:rsidR="0022399C" w:rsidRPr="006D4488" w:rsidRDefault="00070389">
            <w:pPr>
              <w:rPr>
                <w:rFonts w:cstheme="minorHAnsi"/>
                <w:sz w:val="18"/>
                <w:szCs w:val="18"/>
              </w:rPr>
            </w:pPr>
            <w:r w:rsidRPr="006D4488">
              <w:rPr>
                <w:rFonts w:cstheme="minorHAnsi"/>
                <w:sz w:val="18"/>
                <w:szCs w:val="18"/>
              </w:rPr>
              <w:t>Dean or D</w:t>
            </w:r>
            <w:r w:rsidR="0022399C" w:rsidRPr="006D4488">
              <w:rPr>
                <w:rFonts w:cstheme="minorHAnsi"/>
                <w:sz w:val="18"/>
                <w:szCs w:val="18"/>
              </w:rPr>
              <w:t xml:space="preserve">esignee </w:t>
            </w:r>
          </w:p>
        </w:tc>
      </w:tr>
      <w:tr w:rsidR="0022399C" w:rsidRPr="006D4488" w:rsidTr="00A960D9">
        <w:tc>
          <w:tcPr>
            <w:tcW w:w="2718" w:type="dxa"/>
          </w:tcPr>
          <w:p w:rsidR="0022399C" w:rsidRPr="006D4488" w:rsidRDefault="0022399C" w:rsidP="00AA7462">
            <w:pPr>
              <w:rPr>
                <w:rFonts w:cstheme="minorHAnsi"/>
                <w:sz w:val="18"/>
                <w:szCs w:val="18"/>
              </w:rPr>
            </w:pPr>
            <w:r w:rsidRPr="006D4488">
              <w:rPr>
                <w:rFonts w:cstheme="minorHAnsi"/>
                <w:sz w:val="18"/>
                <w:szCs w:val="18"/>
              </w:rPr>
              <w:t>Part-Time Non-Faculty EPA</w:t>
            </w:r>
            <w:r w:rsidR="00186C3E" w:rsidRPr="006D4488">
              <w:rPr>
                <w:rFonts w:cstheme="minorHAnsi"/>
                <w:sz w:val="18"/>
                <w:szCs w:val="18"/>
              </w:rPr>
              <w:t xml:space="preserve"> Professionals</w:t>
            </w:r>
          </w:p>
        </w:tc>
        <w:tc>
          <w:tcPr>
            <w:tcW w:w="3870" w:type="dxa"/>
          </w:tcPr>
          <w:p w:rsidR="0022399C" w:rsidRPr="006D4488" w:rsidRDefault="0022399C">
            <w:pPr>
              <w:rPr>
                <w:rFonts w:cstheme="minorHAnsi"/>
                <w:sz w:val="18"/>
                <w:szCs w:val="18"/>
              </w:rPr>
            </w:pPr>
            <w:r w:rsidRPr="006D4488">
              <w:rPr>
                <w:rFonts w:cstheme="minorHAnsi"/>
                <w:sz w:val="18"/>
                <w:szCs w:val="18"/>
              </w:rPr>
              <w:t>Additional duties may be assigned up to 1.0 FTE with additional compensation proportional to the increase in FTE</w:t>
            </w:r>
          </w:p>
        </w:tc>
        <w:tc>
          <w:tcPr>
            <w:tcW w:w="2988" w:type="dxa"/>
          </w:tcPr>
          <w:p w:rsidR="0022399C" w:rsidRPr="006D4488" w:rsidRDefault="00070389" w:rsidP="0022399C">
            <w:pPr>
              <w:rPr>
                <w:rFonts w:cstheme="minorHAnsi"/>
                <w:sz w:val="18"/>
                <w:szCs w:val="18"/>
              </w:rPr>
            </w:pPr>
            <w:r w:rsidRPr="006D4488">
              <w:rPr>
                <w:rFonts w:cstheme="minorHAnsi"/>
                <w:sz w:val="18"/>
                <w:szCs w:val="18"/>
              </w:rPr>
              <w:t>Head of unit</w:t>
            </w:r>
            <w:r w:rsidR="0022399C" w:rsidRPr="006D4488">
              <w:rPr>
                <w:rFonts w:cstheme="minorHAnsi"/>
                <w:sz w:val="18"/>
                <w:szCs w:val="18"/>
              </w:rPr>
              <w:t xml:space="preserve"> requesting service</w:t>
            </w:r>
          </w:p>
          <w:p w:rsidR="0022399C" w:rsidRPr="006D4488" w:rsidRDefault="00070389" w:rsidP="0022399C">
            <w:pPr>
              <w:rPr>
                <w:rFonts w:cstheme="minorHAnsi"/>
                <w:sz w:val="18"/>
                <w:szCs w:val="18"/>
              </w:rPr>
            </w:pPr>
            <w:r w:rsidRPr="006D4488">
              <w:rPr>
                <w:rFonts w:cstheme="minorHAnsi"/>
                <w:sz w:val="18"/>
                <w:szCs w:val="18"/>
              </w:rPr>
              <w:t>Head of employee’s unit</w:t>
            </w:r>
          </w:p>
          <w:p w:rsidR="0022399C" w:rsidRPr="006D4488" w:rsidRDefault="00070389" w:rsidP="0022399C">
            <w:pPr>
              <w:rPr>
                <w:rFonts w:cstheme="minorHAnsi"/>
                <w:sz w:val="18"/>
                <w:szCs w:val="18"/>
              </w:rPr>
            </w:pPr>
            <w:r w:rsidRPr="006D4488">
              <w:rPr>
                <w:rFonts w:cstheme="minorHAnsi"/>
                <w:sz w:val="18"/>
                <w:szCs w:val="18"/>
              </w:rPr>
              <w:t>Dean or D</w:t>
            </w:r>
            <w:r w:rsidR="0022399C" w:rsidRPr="006D4488">
              <w:rPr>
                <w:rFonts w:cstheme="minorHAnsi"/>
                <w:sz w:val="18"/>
                <w:szCs w:val="18"/>
              </w:rPr>
              <w:t>esignee</w:t>
            </w:r>
          </w:p>
        </w:tc>
      </w:tr>
      <w:tr w:rsidR="0022399C" w:rsidRPr="006D4488" w:rsidTr="00A960D9">
        <w:tc>
          <w:tcPr>
            <w:tcW w:w="2718" w:type="dxa"/>
          </w:tcPr>
          <w:p w:rsidR="0022399C" w:rsidRPr="006D4488" w:rsidRDefault="00BB28E9">
            <w:pPr>
              <w:rPr>
                <w:rFonts w:cstheme="minorHAnsi"/>
                <w:sz w:val="18"/>
                <w:szCs w:val="18"/>
              </w:rPr>
            </w:pPr>
            <w:r w:rsidRPr="006D4488">
              <w:rPr>
                <w:rFonts w:cstheme="minorHAnsi"/>
                <w:sz w:val="18"/>
                <w:szCs w:val="18"/>
              </w:rPr>
              <w:t>Tenure Track  Faculty</w:t>
            </w:r>
          </w:p>
        </w:tc>
        <w:tc>
          <w:tcPr>
            <w:tcW w:w="3870" w:type="dxa"/>
          </w:tcPr>
          <w:p w:rsidR="0022399C" w:rsidRPr="006D4488" w:rsidRDefault="00BB28E9" w:rsidP="006E73EF">
            <w:pPr>
              <w:rPr>
                <w:rFonts w:cstheme="minorHAnsi"/>
                <w:sz w:val="18"/>
                <w:szCs w:val="18"/>
              </w:rPr>
            </w:pPr>
            <w:r w:rsidRPr="006D4488">
              <w:rPr>
                <w:rFonts w:cstheme="minorHAnsi"/>
                <w:sz w:val="18"/>
                <w:szCs w:val="18"/>
              </w:rPr>
              <w:t>Additional responsibilities different from those in the position description (e.g., dept or college admin</w:t>
            </w:r>
            <w:r w:rsidR="00A447FB" w:rsidRPr="006D4488">
              <w:rPr>
                <w:rFonts w:cstheme="minorHAnsi"/>
                <w:sz w:val="18"/>
                <w:szCs w:val="18"/>
              </w:rPr>
              <w:t>istration) may be compensated during the period of duty at a reasonable rate</w:t>
            </w:r>
            <w:r w:rsidR="006E73EF" w:rsidRPr="006D4488">
              <w:rPr>
                <w:rFonts w:cstheme="minorHAnsi"/>
                <w:sz w:val="18"/>
                <w:szCs w:val="18"/>
              </w:rPr>
              <w:t>, up to a maximum of 20% of the annual salary</w:t>
            </w:r>
            <w:r w:rsidR="00A447FB" w:rsidRPr="006D4488">
              <w:rPr>
                <w:rFonts w:cstheme="minorHAnsi"/>
                <w:sz w:val="18"/>
                <w:szCs w:val="18"/>
              </w:rPr>
              <w:t>.  These duties must be different from and in addition to normal responsibilities.</w:t>
            </w:r>
            <w:r w:rsidR="006E73EF" w:rsidRPr="006D4488">
              <w:rPr>
                <w:rFonts w:cstheme="minorHAnsi"/>
                <w:sz w:val="18"/>
                <w:szCs w:val="18"/>
              </w:rPr>
              <w:t xml:space="preserve">  Requests that exceed the 20% annual limit must be accompanied by a justification of extenuating circumstances and will require Provost’s approval.</w:t>
            </w:r>
          </w:p>
        </w:tc>
        <w:tc>
          <w:tcPr>
            <w:tcW w:w="2988" w:type="dxa"/>
          </w:tcPr>
          <w:p w:rsidR="00A447FB" w:rsidRPr="006D4488" w:rsidRDefault="00070389" w:rsidP="00A447FB">
            <w:pPr>
              <w:rPr>
                <w:rFonts w:cstheme="minorHAnsi"/>
                <w:sz w:val="18"/>
                <w:szCs w:val="18"/>
              </w:rPr>
            </w:pPr>
            <w:r w:rsidRPr="006D4488">
              <w:rPr>
                <w:rFonts w:cstheme="minorHAnsi"/>
                <w:sz w:val="18"/>
                <w:szCs w:val="18"/>
              </w:rPr>
              <w:t>Head of unit</w:t>
            </w:r>
            <w:r w:rsidR="00A447FB" w:rsidRPr="006D4488">
              <w:rPr>
                <w:rFonts w:cstheme="minorHAnsi"/>
                <w:sz w:val="18"/>
                <w:szCs w:val="18"/>
              </w:rPr>
              <w:t xml:space="preserve"> requesting service</w:t>
            </w:r>
          </w:p>
          <w:p w:rsidR="00A447FB" w:rsidRPr="006D4488" w:rsidRDefault="00070389" w:rsidP="00A447FB">
            <w:pPr>
              <w:rPr>
                <w:rFonts w:cstheme="minorHAnsi"/>
                <w:sz w:val="18"/>
                <w:szCs w:val="18"/>
              </w:rPr>
            </w:pPr>
            <w:r w:rsidRPr="006D4488">
              <w:rPr>
                <w:rFonts w:cstheme="minorHAnsi"/>
                <w:sz w:val="18"/>
                <w:szCs w:val="18"/>
              </w:rPr>
              <w:t>Head of employee’s unit</w:t>
            </w:r>
          </w:p>
          <w:p w:rsidR="0022399C" w:rsidRPr="006D4488" w:rsidRDefault="00A447FB" w:rsidP="00A447FB">
            <w:pPr>
              <w:rPr>
                <w:rFonts w:cstheme="minorHAnsi"/>
                <w:sz w:val="18"/>
                <w:szCs w:val="18"/>
              </w:rPr>
            </w:pPr>
            <w:r w:rsidRPr="006D4488">
              <w:rPr>
                <w:rFonts w:cstheme="minorHAnsi"/>
                <w:sz w:val="18"/>
                <w:szCs w:val="18"/>
              </w:rPr>
              <w:t>Dean</w:t>
            </w:r>
          </w:p>
          <w:p w:rsidR="00070389" w:rsidRPr="006D4488" w:rsidRDefault="00070389" w:rsidP="00A447FB">
            <w:pPr>
              <w:rPr>
                <w:rFonts w:cstheme="minorHAnsi"/>
                <w:sz w:val="18"/>
                <w:szCs w:val="18"/>
              </w:rPr>
            </w:pPr>
            <w:r w:rsidRPr="006D4488">
              <w:rPr>
                <w:rFonts w:cstheme="minorHAnsi"/>
                <w:sz w:val="18"/>
                <w:szCs w:val="18"/>
              </w:rPr>
              <w:t>University HR</w:t>
            </w:r>
          </w:p>
          <w:p w:rsidR="00A12B48" w:rsidRPr="006D4488" w:rsidRDefault="00A12B48" w:rsidP="00A447FB">
            <w:pPr>
              <w:rPr>
                <w:rFonts w:cstheme="minorHAnsi"/>
                <w:sz w:val="18"/>
                <w:szCs w:val="18"/>
              </w:rPr>
            </w:pPr>
            <w:r w:rsidRPr="006D4488">
              <w:rPr>
                <w:rFonts w:cstheme="minorHAnsi"/>
                <w:sz w:val="18"/>
                <w:szCs w:val="18"/>
              </w:rPr>
              <w:t>[Provost]*</w:t>
            </w:r>
          </w:p>
          <w:p w:rsidR="00A12B48" w:rsidRPr="006D4488" w:rsidRDefault="00A12B48" w:rsidP="00A447FB">
            <w:pPr>
              <w:rPr>
                <w:rFonts w:cstheme="minorHAnsi"/>
                <w:sz w:val="18"/>
                <w:szCs w:val="18"/>
              </w:rPr>
            </w:pPr>
          </w:p>
          <w:p w:rsidR="00A12B48" w:rsidRPr="006D4488" w:rsidRDefault="00A12B48" w:rsidP="00A447FB">
            <w:pPr>
              <w:rPr>
                <w:rFonts w:cstheme="minorHAnsi"/>
                <w:sz w:val="18"/>
                <w:szCs w:val="18"/>
              </w:rPr>
            </w:pPr>
            <w:r w:rsidRPr="006D4488">
              <w:rPr>
                <w:rFonts w:cstheme="minorHAnsi"/>
                <w:sz w:val="18"/>
                <w:szCs w:val="18"/>
              </w:rPr>
              <w:t>*when request exceeds the 20% limit</w:t>
            </w:r>
          </w:p>
        </w:tc>
      </w:tr>
    </w:tbl>
    <w:p w:rsidR="00D97B28" w:rsidRPr="006D4488" w:rsidRDefault="00D97B28">
      <w:r w:rsidRPr="006D4488">
        <w:br w:type="page"/>
      </w:r>
    </w:p>
    <w:tbl>
      <w:tblPr>
        <w:tblStyle w:val="TableGrid"/>
        <w:tblW w:w="0" w:type="auto"/>
        <w:tblLook w:val="04A0"/>
      </w:tblPr>
      <w:tblGrid>
        <w:gridCol w:w="2718"/>
        <w:gridCol w:w="3870"/>
        <w:gridCol w:w="2988"/>
      </w:tblGrid>
      <w:tr w:rsidR="00783FE8" w:rsidRPr="006D4488" w:rsidTr="00A960D9">
        <w:tc>
          <w:tcPr>
            <w:tcW w:w="2718" w:type="dxa"/>
          </w:tcPr>
          <w:p w:rsidR="00783FE8" w:rsidRPr="006D4488" w:rsidRDefault="00783FE8">
            <w:pPr>
              <w:rPr>
                <w:rFonts w:cstheme="minorHAnsi"/>
                <w:sz w:val="18"/>
                <w:szCs w:val="18"/>
              </w:rPr>
            </w:pPr>
            <w:r w:rsidRPr="006D4488">
              <w:rPr>
                <w:rFonts w:cstheme="minorHAnsi"/>
                <w:sz w:val="18"/>
                <w:szCs w:val="18"/>
              </w:rPr>
              <w:lastRenderedPageBreak/>
              <w:t>Full-Time NTT Faculty</w:t>
            </w:r>
          </w:p>
        </w:tc>
        <w:tc>
          <w:tcPr>
            <w:tcW w:w="3870" w:type="dxa"/>
          </w:tcPr>
          <w:p w:rsidR="00783FE8" w:rsidRPr="006D4488" w:rsidRDefault="00A12B48">
            <w:pPr>
              <w:rPr>
                <w:rFonts w:cstheme="minorHAnsi"/>
                <w:sz w:val="18"/>
                <w:szCs w:val="18"/>
              </w:rPr>
            </w:pPr>
            <w:r w:rsidRPr="006D4488">
              <w:rPr>
                <w:rFonts w:cstheme="minorHAnsi"/>
                <w:sz w:val="18"/>
                <w:szCs w:val="18"/>
              </w:rPr>
              <w:t>Additional responsibilities different from those in the position description (e.g., dept or college administration) may be compensated during the period of duty at a reasonable rate, up to a maximum of 20% of the annual salary.  These duties must be different from and in addition to normal responsibilities.  Requests that exceed the 20% annual limit must be accompanied by a justification of extenuating circumstances and will require Provost’s approval.</w:t>
            </w:r>
          </w:p>
        </w:tc>
        <w:tc>
          <w:tcPr>
            <w:tcW w:w="2988" w:type="dxa"/>
          </w:tcPr>
          <w:p w:rsidR="00A12B48" w:rsidRPr="006D4488" w:rsidRDefault="00A12B48" w:rsidP="00A12B48">
            <w:pPr>
              <w:rPr>
                <w:rFonts w:cstheme="minorHAnsi"/>
                <w:sz w:val="18"/>
                <w:szCs w:val="18"/>
              </w:rPr>
            </w:pPr>
            <w:r w:rsidRPr="006D4488">
              <w:rPr>
                <w:rFonts w:cstheme="minorHAnsi"/>
                <w:sz w:val="18"/>
                <w:szCs w:val="18"/>
              </w:rPr>
              <w:t>Head of unit requesting service</w:t>
            </w:r>
          </w:p>
          <w:p w:rsidR="00A12B48" w:rsidRPr="006D4488" w:rsidRDefault="00A12B48" w:rsidP="00A12B48">
            <w:pPr>
              <w:rPr>
                <w:rFonts w:cstheme="minorHAnsi"/>
                <w:sz w:val="18"/>
                <w:szCs w:val="18"/>
              </w:rPr>
            </w:pPr>
            <w:r w:rsidRPr="006D4488">
              <w:rPr>
                <w:rFonts w:cstheme="minorHAnsi"/>
                <w:sz w:val="18"/>
                <w:szCs w:val="18"/>
              </w:rPr>
              <w:t>Head of employee’s unit</w:t>
            </w:r>
          </w:p>
          <w:p w:rsidR="00A12B48" w:rsidRPr="006D4488" w:rsidRDefault="00A12B48" w:rsidP="00A12B48">
            <w:pPr>
              <w:rPr>
                <w:rFonts w:cstheme="minorHAnsi"/>
                <w:sz w:val="18"/>
                <w:szCs w:val="18"/>
              </w:rPr>
            </w:pPr>
            <w:r w:rsidRPr="006D4488">
              <w:rPr>
                <w:rFonts w:cstheme="minorHAnsi"/>
                <w:sz w:val="18"/>
                <w:szCs w:val="18"/>
              </w:rPr>
              <w:t>Dean</w:t>
            </w:r>
          </w:p>
          <w:p w:rsidR="00A12B48" w:rsidRPr="006D4488" w:rsidRDefault="00A12B48" w:rsidP="00A12B48">
            <w:pPr>
              <w:rPr>
                <w:rFonts w:cstheme="minorHAnsi"/>
                <w:sz w:val="18"/>
                <w:szCs w:val="18"/>
              </w:rPr>
            </w:pPr>
            <w:r w:rsidRPr="006D4488">
              <w:rPr>
                <w:rFonts w:cstheme="minorHAnsi"/>
                <w:sz w:val="18"/>
                <w:szCs w:val="18"/>
              </w:rPr>
              <w:t>University HR</w:t>
            </w:r>
          </w:p>
          <w:p w:rsidR="00A12B48" w:rsidRPr="006D4488" w:rsidRDefault="00A12B48" w:rsidP="00A12B48">
            <w:pPr>
              <w:rPr>
                <w:rFonts w:cstheme="minorHAnsi"/>
                <w:sz w:val="18"/>
                <w:szCs w:val="18"/>
              </w:rPr>
            </w:pPr>
            <w:r w:rsidRPr="006D4488">
              <w:rPr>
                <w:rFonts w:cstheme="minorHAnsi"/>
                <w:sz w:val="18"/>
                <w:szCs w:val="18"/>
              </w:rPr>
              <w:t>[Provost]*</w:t>
            </w:r>
          </w:p>
          <w:p w:rsidR="00A12B48" w:rsidRPr="006D4488" w:rsidRDefault="00A12B48" w:rsidP="00A12B48">
            <w:pPr>
              <w:rPr>
                <w:rFonts w:cstheme="minorHAnsi"/>
                <w:sz w:val="18"/>
                <w:szCs w:val="18"/>
              </w:rPr>
            </w:pPr>
          </w:p>
          <w:p w:rsidR="00783FE8" w:rsidRPr="006D4488" w:rsidRDefault="00A12B48" w:rsidP="00A12B48">
            <w:pPr>
              <w:rPr>
                <w:rFonts w:cstheme="minorHAnsi"/>
                <w:sz w:val="18"/>
                <w:szCs w:val="18"/>
              </w:rPr>
            </w:pPr>
            <w:r w:rsidRPr="006D4488">
              <w:rPr>
                <w:rFonts w:cstheme="minorHAnsi"/>
                <w:sz w:val="18"/>
                <w:szCs w:val="18"/>
              </w:rPr>
              <w:t>*when request exceeds the 20% limit</w:t>
            </w:r>
          </w:p>
        </w:tc>
      </w:tr>
      <w:tr w:rsidR="00783FE8" w:rsidRPr="006D4488" w:rsidTr="00A960D9">
        <w:tc>
          <w:tcPr>
            <w:tcW w:w="2718" w:type="dxa"/>
          </w:tcPr>
          <w:p w:rsidR="00783FE8" w:rsidRPr="006D4488" w:rsidRDefault="00783FE8">
            <w:pPr>
              <w:rPr>
                <w:rFonts w:cstheme="minorHAnsi"/>
                <w:sz w:val="18"/>
                <w:szCs w:val="18"/>
              </w:rPr>
            </w:pPr>
            <w:r w:rsidRPr="006D4488">
              <w:rPr>
                <w:rFonts w:cstheme="minorHAnsi"/>
                <w:sz w:val="18"/>
                <w:szCs w:val="18"/>
              </w:rPr>
              <w:t>Full-Time Non-Faculty EPA Professionals</w:t>
            </w:r>
          </w:p>
        </w:tc>
        <w:tc>
          <w:tcPr>
            <w:tcW w:w="3870" w:type="dxa"/>
          </w:tcPr>
          <w:p w:rsidR="00783FE8" w:rsidRPr="006D4488" w:rsidRDefault="00783FE8">
            <w:pPr>
              <w:rPr>
                <w:rFonts w:cstheme="minorHAnsi"/>
                <w:sz w:val="18"/>
                <w:szCs w:val="18"/>
              </w:rPr>
            </w:pPr>
            <w:r w:rsidRPr="006D4488">
              <w:rPr>
                <w:rFonts w:cstheme="minorHAnsi"/>
                <w:sz w:val="18"/>
                <w:szCs w:val="18"/>
              </w:rPr>
              <w:t xml:space="preserve">Additional responsibilities different from those in the position description (e.g., for many, teaching and/or curriculum work)) </w:t>
            </w:r>
            <w:r w:rsidR="00A12B48" w:rsidRPr="006D4488">
              <w:rPr>
                <w:rFonts w:cstheme="minorHAnsi"/>
                <w:sz w:val="18"/>
                <w:szCs w:val="18"/>
              </w:rPr>
              <w:t>may be compensated during the period of duty at a reasonable rate, up to a maximum of 20% of the annual salary.  These duties must be different from and in addition to normal responsibilities.  Requests that exceed the 20% annual limit must be accompanied by a justification of extenuating circumstances and will require Provost’s approval.</w:t>
            </w:r>
          </w:p>
        </w:tc>
        <w:tc>
          <w:tcPr>
            <w:tcW w:w="2988" w:type="dxa"/>
          </w:tcPr>
          <w:p w:rsidR="00A12B48" w:rsidRPr="006D4488" w:rsidRDefault="00A12B48" w:rsidP="00A12B48">
            <w:pPr>
              <w:rPr>
                <w:rFonts w:cstheme="minorHAnsi"/>
                <w:sz w:val="18"/>
                <w:szCs w:val="18"/>
              </w:rPr>
            </w:pPr>
            <w:r w:rsidRPr="006D4488">
              <w:rPr>
                <w:rFonts w:cstheme="minorHAnsi"/>
                <w:sz w:val="18"/>
                <w:szCs w:val="18"/>
              </w:rPr>
              <w:t>Head of unit requesting service</w:t>
            </w:r>
          </w:p>
          <w:p w:rsidR="00A12B48" w:rsidRPr="006D4488" w:rsidRDefault="00A12B48" w:rsidP="00A12B48">
            <w:pPr>
              <w:rPr>
                <w:rFonts w:cstheme="minorHAnsi"/>
                <w:sz w:val="18"/>
                <w:szCs w:val="18"/>
              </w:rPr>
            </w:pPr>
            <w:r w:rsidRPr="006D4488">
              <w:rPr>
                <w:rFonts w:cstheme="minorHAnsi"/>
                <w:sz w:val="18"/>
                <w:szCs w:val="18"/>
              </w:rPr>
              <w:t>Head of employee’s unit</w:t>
            </w:r>
          </w:p>
          <w:p w:rsidR="00A12B48" w:rsidRPr="006D4488" w:rsidRDefault="00A12B48" w:rsidP="00A12B48">
            <w:pPr>
              <w:rPr>
                <w:rFonts w:cstheme="minorHAnsi"/>
                <w:sz w:val="18"/>
                <w:szCs w:val="18"/>
              </w:rPr>
            </w:pPr>
            <w:r w:rsidRPr="006D4488">
              <w:rPr>
                <w:rFonts w:cstheme="minorHAnsi"/>
                <w:sz w:val="18"/>
                <w:szCs w:val="18"/>
              </w:rPr>
              <w:t>Dean</w:t>
            </w:r>
          </w:p>
          <w:p w:rsidR="00A12B48" w:rsidRPr="006D4488" w:rsidRDefault="00A12B48" w:rsidP="00A12B48">
            <w:pPr>
              <w:rPr>
                <w:rFonts w:cstheme="minorHAnsi"/>
                <w:sz w:val="18"/>
                <w:szCs w:val="18"/>
              </w:rPr>
            </w:pPr>
            <w:r w:rsidRPr="006D4488">
              <w:rPr>
                <w:rFonts w:cstheme="minorHAnsi"/>
                <w:sz w:val="18"/>
                <w:szCs w:val="18"/>
              </w:rPr>
              <w:t>University HR</w:t>
            </w:r>
          </w:p>
          <w:p w:rsidR="00A12B48" w:rsidRPr="006D4488" w:rsidRDefault="00A12B48" w:rsidP="00A12B48">
            <w:pPr>
              <w:rPr>
                <w:rFonts w:cstheme="minorHAnsi"/>
                <w:sz w:val="18"/>
                <w:szCs w:val="18"/>
              </w:rPr>
            </w:pPr>
            <w:r w:rsidRPr="006D4488">
              <w:rPr>
                <w:rFonts w:cstheme="minorHAnsi"/>
                <w:sz w:val="18"/>
                <w:szCs w:val="18"/>
              </w:rPr>
              <w:t>[Provost]*</w:t>
            </w:r>
          </w:p>
          <w:p w:rsidR="00A12B48" w:rsidRPr="006D4488" w:rsidRDefault="00A12B48" w:rsidP="00A12B48">
            <w:pPr>
              <w:rPr>
                <w:rFonts w:cstheme="minorHAnsi"/>
                <w:sz w:val="18"/>
                <w:szCs w:val="18"/>
              </w:rPr>
            </w:pPr>
          </w:p>
          <w:p w:rsidR="00783FE8" w:rsidRPr="006D4488" w:rsidRDefault="00A12B48" w:rsidP="00A12B48">
            <w:pPr>
              <w:rPr>
                <w:rFonts w:cstheme="minorHAnsi"/>
                <w:sz w:val="18"/>
                <w:szCs w:val="18"/>
              </w:rPr>
            </w:pPr>
            <w:r w:rsidRPr="006D4488">
              <w:rPr>
                <w:rFonts w:cstheme="minorHAnsi"/>
                <w:sz w:val="18"/>
                <w:szCs w:val="18"/>
              </w:rPr>
              <w:t>*when request exceeds the 20% limit</w:t>
            </w:r>
          </w:p>
        </w:tc>
      </w:tr>
    </w:tbl>
    <w:p w:rsidR="00E02C6B" w:rsidRPr="006D4488" w:rsidRDefault="00E02C6B">
      <w:pPr>
        <w:rPr>
          <w:rFonts w:cstheme="minorHAnsi"/>
          <w:sz w:val="20"/>
          <w:szCs w:val="20"/>
        </w:rPr>
      </w:pPr>
    </w:p>
    <w:p w:rsidR="00CB4DD3" w:rsidRPr="006D4488" w:rsidRDefault="00CB4DD3">
      <w:pPr>
        <w:rPr>
          <w:rFonts w:cstheme="minorHAnsi"/>
          <w:sz w:val="20"/>
          <w:szCs w:val="20"/>
        </w:rPr>
      </w:pPr>
      <w:r w:rsidRPr="006D4488">
        <w:rPr>
          <w:rFonts w:cstheme="minorHAnsi"/>
          <w:b/>
          <w:sz w:val="20"/>
          <w:szCs w:val="20"/>
        </w:rPr>
        <w:t>Special Considerations for Contracts &amp; Grants:</w:t>
      </w:r>
      <w:r w:rsidRPr="006D4488">
        <w:rPr>
          <w:rFonts w:cstheme="minorHAnsi"/>
          <w:sz w:val="20"/>
          <w:szCs w:val="20"/>
        </w:rPr>
        <w:t xml:space="preserve">  When the supplemental pay will be charged to a contract or grant there are additional considerations that apply primarily to full-time</w:t>
      </w:r>
      <w:r w:rsidR="00C849E2" w:rsidRPr="006D4488">
        <w:rPr>
          <w:rFonts w:cstheme="minorHAnsi"/>
          <w:sz w:val="20"/>
          <w:szCs w:val="20"/>
        </w:rPr>
        <w:t>,</w:t>
      </w:r>
      <w:r w:rsidRPr="006D4488">
        <w:rPr>
          <w:rFonts w:cstheme="minorHAnsi"/>
          <w:sz w:val="20"/>
          <w:szCs w:val="20"/>
        </w:rPr>
        <w:t xml:space="preserve"> tenure-track faculty.  These constraints deriv</w:t>
      </w:r>
      <w:r w:rsidR="00F21B95" w:rsidRPr="006D4488">
        <w:rPr>
          <w:rFonts w:cstheme="minorHAnsi"/>
          <w:sz w:val="20"/>
          <w:szCs w:val="20"/>
        </w:rPr>
        <w:t xml:space="preserve">e from </w:t>
      </w:r>
      <w:r w:rsidR="00C849E2" w:rsidRPr="006D4488">
        <w:rPr>
          <w:rFonts w:cstheme="minorHAnsi"/>
          <w:sz w:val="20"/>
          <w:szCs w:val="20"/>
        </w:rPr>
        <w:t xml:space="preserve">OMB </w:t>
      </w:r>
      <w:r w:rsidR="00F21B95" w:rsidRPr="006D4488">
        <w:rPr>
          <w:rFonts w:cstheme="minorHAnsi"/>
          <w:sz w:val="20"/>
          <w:szCs w:val="20"/>
        </w:rPr>
        <w:t>Federal Circular A-21, J.10.d.(1)</w:t>
      </w:r>
      <w:r w:rsidRPr="006D4488">
        <w:rPr>
          <w:rFonts w:cstheme="minorHAnsi"/>
          <w:sz w:val="20"/>
          <w:szCs w:val="20"/>
        </w:rPr>
        <w:t>:</w:t>
      </w:r>
    </w:p>
    <w:p w:rsidR="00B424CE" w:rsidRPr="006D4488" w:rsidRDefault="00B424CE" w:rsidP="00B424CE">
      <w:pPr>
        <w:spacing w:line="240" w:lineRule="auto"/>
        <w:rPr>
          <w:rFonts w:cstheme="minorHAnsi"/>
          <w:sz w:val="20"/>
          <w:szCs w:val="20"/>
        </w:rPr>
      </w:pPr>
    </w:p>
    <w:p w:rsidR="00B424CE" w:rsidRPr="006D4488" w:rsidRDefault="00F21B95" w:rsidP="00B424CE">
      <w:pPr>
        <w:spacing w:line="360" w:lineRule="auto"/>
        <w:rPr>
          <w:rFonts w:eastAsia="Times New Roman" w:cstheme="minorHAnsi"/>
          <w:i/>
          <w:sz w:val="18"/>
          <w:szCs w:val="18"/>
        </w:rPr>
      </w:pPr>
      <w:r w:rsidRPr="006D4488">
        <w:rPr>
          <w:rFonts w:eastAsia="Times New Roman" w:cstheme="minorHAnsi"/>
          <w:i/>
          <w:sz w:val="18"/>
          <w:szCs w:val="18"/>
        </w:rPr>
        <w:t xml:space="preserve">J.10.d. Salary rates for faculty members. </w:t>
      </w:r>
    </w:p>
    <w:p w:rsidR="00F21B95" w:rsidRPr="006D4488" w:rsidRDefault="00F21B95" w:rsidP="00B424CE">
      <w:pPr>
        <w:pStyle w:val="ListParagraph"/>
        <w:numPr>
          <w:ilvl w:val="0"/>
          <w:numId w:val="4"/>
        </w:numPr>
        <w:spacing w:line="240" w:lineRule="auto"/>
        <w:ind w:left="360" w:right="180"/>
        <w:rPr>
          <w:rFonts w:cstheme="minorHAnsi"/>
          <w:i/>
          <w:sz w:val="18"/>
          <w:szCs w:val="18"/>
        </w:rPr>
      </w:pPr>
      <w:r w:rsidRPr="006D4488">
        <w:rPr>
          <w:rFonts w:cstheme="minorHAnsi"/>
          <w:i/>
          <w:sz w:val="18"/>
          <w:szCs w:val="18"/>
        </w:rPr>
        <w:t>Salary rates for academic year. Charges for work performed on sponsored agreements by faculty members during the academic year will be based on the individual faculty member's regular compensation for the continuous period which, under the policy of the institution concerned, constitutes the basis of his salary. Charges for work performed on sponsored agreements during all or any portion of such period are allowable at the base salary rate. In no event will charges to sponsored agreements, irrespective of the basis of computation, exceed the proportionate share of the base salary for that period. This principle applies to all members of the faculty at an institution. Since intra university consulting is assumed to be undertaken as a university obligation requiring no compensation in addition to full time base salary, the principle also applies to faculty members who function as consultants or otherwise contribute to a sponsored agreement conducted by another faculty member of the same institution</w:t>
      </w:r>
      <w:r w:rsidRPr="006D4488">
        <w:rPr>
          <w:rFonts w:cstheme="minorHAnsi"/>
          <w:i/>
          <w:color w:val="FF0000"/>
          <w:sz w:val="18"/>
          <w:szCs w:val="18"/>
        </w:rPr>
        <w:t>. However, in unusual cases where consultation is across departmental lines or involves a separate or remote operation, and the work performed by the consultant is in addition to his regular departmental load, any charges for such work representing extra compensation above the base salary are allowable provided that such consulting arrangements are specifically provided for in the agreement or approved in writing by the sponsoring agency.</w:t>
      </w:r>
    </w:p>
    <w:p w:rsidR="00B424CE" w:rsidRPr="006D4488" w:rsidRDefault="00B424CE">
      <w:pPr>
        <w:rPr>
          <w:rFonts w:cstheme="minorHAnsi"/>
          <w:sz w:val="20"/>
          <w:szCs w:val="20"/>
        </w:rPr>
      </w:pPr>
    </w:p>
    <w:p w:rsidR="00B424CE" w:rsidRPr="006D4488" w:rsidRDefault="00C849E2">
      <w:pPr>
        <w:rPr>
          <w:rFonts w:cstheme="minorHAnsi"/>
          <w:sz w:val="20"/>
          <w:szCs w:val="20"/>
        </w:rPr>
      </w:pPr>
      <w:r w:rsidRPr="006D4488">
        <w:rPr>
          <w:rFonts w:cstheme="minorHAnsi"/>
          <w:sz w:val="20"/>
          <w:szCs w:val="20"/>
        </w:rPr>
        <w:t>The University’s application of this section of A-21 boils down to this:</w:t>
      </w:r>
    </w:p>
    <w:p w:rsidR="00C849E2" w:rsidRPr="006D4488" w:rsidRDefault="00C849E2" w:rsidP="0069541F">
      <w:pPr>
        <w:pStyle w:val="ListParagraph"/>
        <w:numPr>
          <w:ilvl w:val="0"/>
          <w:numId w:val="5"/>
        </w:numPr>
        <w:ind w:left="450"/>
        <w:rPr>
          <w:rFonts w:cstheme="minorHAnsi"/>
          <w:sz w:val="20"/>
          <w:szCs w:val="20"/>
        </w:rPr>
      </w:pPr>
      <w:r w:rsidRPr="006D4488">
        <w:rPr>
          <w:rFonts w:cstheme="minorHAnsi"/>
          <w:sz w:val="20"/>
          <w:szCs w:val="20"/>
        </w:rPr>
        <w:t>Supplemental pay for faculty effort on sponsored projects during the academic year is not allowed; release time is the standard.</w:t>
      </w:r>
    </w:p>
    <w:p w:rsidR="005F1361" w:rsidRPr="006D4488" w:rsidRDefault="00C849E2" w:rsidP="0069541F">
      <w:pPr>
        <w:pStyle w:val="ListParagraph"/>
        <w:numPr>
          <w:ilvl w:val="0"/>
          <w:numId w:val="5"/>
        </w:numPr>
        <w:ind w:left="450"/>
        <w:rPr>
          <w:rStyle w:val="Hyperlink"/>
          <w:rFonts w:cstheme="minorHAnsi"/>
          <w:color w:val="auto"/>
          <w:sz w:val="20"/>
          <w:szCs w:val="20"/>
          <w:u w:val="none"/>
        </w:rPr>
      </w:pPr>
      <w:r w:rsidRPr="006D4488">
        <w:rPr>
          <w:rFonts w:cstheme="minorHAnsi"/>
          <w:sz w:val="20"/>
          <w:szCs w:val="20"/>
        </w:rPr>
        <w:t xml:space="preserve">Supplemental pay for faculty effort on sponsored projects during the summer is allowed as </w:t>
      </w:r>
      <w:r w:rsidRPr="006D4488">
        <w:rPr>
          <w:rFonts w:cstheme="minorHAnsi"/>
          <w:sz w:val="20"/>
        </w:rPr>
        <w:t xml:space="preserve">governed by </w:t>
      </w:r>
      <w:hyperlink r:id="rId8" w:history="1">
        <w:r w:rsidRPr="006D4488">
          <w:rPr>
            <w:rStyle w:val="Hyperlink"/>
            <w:rFonts w:cstheme="minorHAnsi"/>
            <w:sz w:val="20"/>
          </w:rPr>
          <w:t>NCSU REG05.20.35 - Summer Salary for EPA Employees</w:t>
        </w:r>
      </w:hyperlink>
    </w:p>
    <w:p w:rsidR="00C849E2" w:rsidRPr="006D4488" w:rsidRDefault="005F1361" w:rsidP="0069541F">
      <w:pPr>
        <w:pStyle w:val="ListParagraph"/>
        <w:numPr>
          <w:ilvl w:val="0"/>
          <w:numId w:val="5"/>
        </w:numPr>
        <w:ind w:left="450"/>
        <w:rPr>
          <w:rFonts w:cstheme="minorHAnsi"/>
          <w:sz w:val="20"/>
          <w:szCs w:val="20"/>
        </w:rPr>
      </w:pPr>
      <w:r w:rsidRPr="006D4488">
        <w:rPr>
          <w:rFonts w:cstheme="minorHAnsi"/>
          <w:sz w:val="20"/>
          <w:szCs w:val="20"/>
        </w:rPr>
        <w:t xml:space="preserve"> </w:t>
      </w:r>
      <w:r w:rsidR="0069541F" w:rsidRPr="006D4488">
        <w:rPr>
          <w:rFonts w:cstheme="minorHAnsi"/>
          <w:sz w:val="20"/>
          <w:szCs w:val="20"/>
        </w:rPr>
        <w:t xml:space="preserve">In certain cases, a faculty member may receive supplemental pay for consulting or similar contribution to a sponsored project that is </w:t>
      </w:r>
      <w:r w:rsidR="0069541F" w:rsidRPr="006D4488">
        <w:rPr>
          <w:rFonts w:cstheme="minorHAnsi"/>
          <w:b/>
          <w:sz w:val="20"/>
          <w:szCs w:val="20"/>
        </w:rPr>
        <w:t>not</w:t>
      </w:r>
      <w:r w:rsidR="0069541F" w:rsidRPr="006D4488">
        <w:rPr>
          <w:rFonts w:cstheme="minorHAnsi"/>
          <w:sz w:val="20"/>
          <w:szCs w:val="20"/>
        </w:rPr>
        <w:t xml:space="preserve"> her/his own and is in a </w:t>
      </w:r>
      <w:r w:rsidR="0069541F" w:rsidRPr="006D4488">
        <w:rPr>
          <w:rFonts w:cstheme="minorHAnsi"/>
          <w:b/>
          <w:sz w:val="20"/>
          <w:szCs w:val="20"/>
        </w:rPr>
        <w:t>different unit</w:t>
      </w:r>
      <w:r w:rsidR="0069541F" w:rsidRPr="006D4488">
        <w:rPr>
          <w:rFonts w:cstheme="minorHAnsi"/>
          <w:sz w:val="20"/>
          <w:szCs w:val="20"/>
        </w:rPr>
        <w:t xml:space="preserve"> of the University, with prior approval of the funding agency (see highlighted section of A-21 and item #4 in the list of required approvals above).  Please discuss these plans beforehand with your </w:t>
      </w:r>
      <w:r w:rsidR="003C5315" w:rsidRPr="006D4488">
        <w:rPr>
          <w:rFonts w:cstheme="minorHAnsi"/>
          <w:sz w:val="20"/>
          <w:szCs w:val="20"/>
        </w:rPr>
        <w:t>department head, b</w:t>
      </w:r>
      <w:r w:rsidR="0069541F" w:rsidRPr="006D4488">
        <w:rPr>
          <w:rFonts w:cstheme="minorHAnsi"/>
          <w:sz w:val="20"/>
          <w:szCs w:val="20"/>
        </w:rPr>
        <w:t>usin</w:t>
      </w:r>
      <w:r w:rsidR="003C5315" w:rsidRPr="006D4488">
        <w:rPr>
          <w:rFonts w:cstheme="minorHAnsi"/>
          <w:sz w:val="20"/>
          <w:szCs w:val="20"/>
        </w:rPr>
        <w:t>ess o</w:t>
      </w:r>
      <w:r w:rsidR="0069541F" w:rsidRPr="006D4488">
        <w:rPr>
          <w:rFonts w:cstheme="minorHAnsi"/>
          <w:sz w:val="20"/>
          <w:szCs w:val="20"/>
        </w:rPr>
        <w:t>ffice</w:t>
      </w:r>
      <w:r w:rsidR="003C5315" w:rsidRPr="006D4488">
        <w:rPr>
          <w:rFonts w:cstheme="minorHAnsi"/>
          <w:sz w:val="20"/>
          <w:szCs w:val="20"/>
        </w:rPr>
        <w:t>r, and grants manager</w:t>
      </w:r>
      <w:r w:rsidR="0069541F" w:rsidRPr="006D4488">
        <w:rPr>
          <w:rFonts w:cstheme="minorHAnsi"/>
          <w:sz w:val="20"/>
          <w:szCs w:val="20"/>
        </w:rPr>
        <w:t>.</w:t>
      </w:r>
    </w:p>
    <w:sectPr w:rsidR="00C849E2" w:rsidRPr="006D4488" w:rsidSect="00FF2A5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3E5" w:rsidRDefault="009603E5" w:rsidP="0068368F">
      <w:pPr>
        <w:spacing w:line="240" w:lineRule="auto"/>
      </w:pPr>
      <w:r>
        <w:separator/>
      </w:r>
    </w:p>
  </w:endnote>
  <w:endnote w:type="continuationSeparator" w:id="0">
    <w:p w:rsidR="009603E5" w:rsidRDefault="009603E5" w:rsidP="0068368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1EC" w:rsidRDefault="00C001E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1EC" w:rsidRDefault="00C001E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1EC" w:rsidRDefault="00C001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3E5" w:rsidRDefault="009603E5" w:rsidP="0068368F">
      <w:pPr>
        <w:spacing w:line="240" w:lineRule="auto"/>
      </w:pPr>
      <w:r>
        <w:separator/>
      </w:r>
    </w:p>
  </w:footnote>
  <w:footnote w:type="continuationSeparator" w:id="0">
    <w:p w:rsidR="009603E5" w:rsidRDefault="009603E5" w:rsidP="0068368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1EC" w:rsidRDefault="00C001E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1EC" w:rsidRDefault="00C001E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1EC" w:rsidRDefault="00C001E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93678"/>
    <w:multiLevelType w:val="hybridMultilevel"/>
    <w:tmpl w:val="9B4C4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C07776"/>
    <w:multiLevelType w:val="multilevel"/>
    <w:tmpl w:val="8D0C6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9A5286F"/>
    <w:multiLevelType w:val="hybridMultilevel"/>
    <w:tmpl w:val="AE1E2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6A67D9"/>
    <w:multiLevelType w:val="hybridMultilevel"/>
    <w:tmpl w:val="8DB61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B0727E"/>
    <w:multiLevelType w:val="hybridMultilevel"/>
    <w:tmpl w:val="566024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hdrShapeDefaults>
    <o:shapedefaults v:ext="edit" spidmax="5122"/>
  </w:hdrShapeDefaults>
  <w:footnotePr>
    <w:footnote w:id="-1"/>
    <w:footnote w:id="0"/>
  </w:footnotePr>
  <w:endnotePr>
    <w:endnote w:id="-1"/>
    <w:endnote w:id="0"/>
  </w:endnotePr>
  <w:compat/>
  <w:rsids>
    <w:rsidRoot w:val="00920A72"/>
    <w:rsid w:val="00070389"/>
    <w:rsid w:val="000C3A41"/>
    <w:rsid w:val="00186C3E"/>
    <w:rsid w:val="001A375A"/>
    <w:rsid w:val="001A65F8"/>
    <w:rsid w:val="00214C2C"/>
    <w:rsid w:val="0022399C"/>
    <w:rsid w:val="00352801"/>
    <w:rsid w:val="00377D74"/>
    <w:rsid w:val="003C5315"/>
    <w:rsid w:val="003F7BD0"/>
    <w:rsid w:val="00453154"/>
    <w:rsid w:val="00522AC4"/>
    <w:rsid w:val="00552316"/>
    <w:rsid w:val="005C6736"/>
    <w:rsid w:val="005F1361"/>
    <w:rsid w:val="00647397"/>
    <w:rsid w:val="00650028"/>
    <w:rsid w:val="0068368F"/>
    <w:rsid w:val="0069541F"/>
    <w:rsid w:val="006B182B"/>
    <w:rsid w:val="006D4488"/>
    <w:rsid w:val="006E73EF"/>
    <w:rsid w:val="006F64A3"/>
    <w:rsid w:val="00714646"/>
    <w:rsid w:val="00783FE8"/>
    <w:rsid w:val="007B4D92"/>
    <w:rsid w:val="00894EEC"/>
    <w:rsid w:val="008B02A2"/>
    <w:rsid w:val="00920A72"/>
    <w:rsid w:val="009301F2"/>
    <w:rsid w:val="009603E5"/>
    <w:rsid w:val="009678D6"/>
    <w:rsid w:val="009E64CC"/>
    <w:rsid w:val="00A10C8D"/>
    <w:rsid w:val="00A12B48"/>
    <w:rsid w:val="00A26262"/>
    <w:rsid w:val="00A447FB"/>
    <w:rsid w:val="00A53BEF"/>
    <w:rsid w:val="00A960D9"/>
    <w:rsid w:val="00AA7462"/>
    <w:rsid w:val="00AB7B54"/>
    <w:rsid w:val="00B10835"/>
    <w:rsid w:val="00B36CA5"/>
    <w:rsid w:val="00B424CE"/>
    <w:rsid w:val="00B44908"/>
    <w:rsid w:val="00BB28E9"/>
    <w:rsid w:val="00BC2B90"/>
    <w:rsid w:val="00C001EC"/>
    <w:rsid w:val="00C16E17"/>
    <w:rsid w:val="00C849E2"/>
    <w:rsid w:val="00CB4DD3"/>
    <w:rsid w:val="00CB7F64"/>
    <w:rsid w:val="00CC1073"/>
    <w:rsid w:val="00D97B28"/>
    <w:rsid w:val="00D97C75"/>
    <w:rsid w:val="00E023B8"/>
    <w:rsid w:val="00E02C6B"/>
    <w:rsid w:val="00F127F7"/>
    <w:rsid w:val="00F21B95"/>
    <w:rsid w:val="00FA055F"/>
    <w:rsid w:val="00FF2A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A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23B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3B8"/>
    <w:rPr>
      <w:rFonts w:ascii="Tahoma" w:hAnsi="Tahoma" w:cs="Tahoma"/>
      <w:sz w:val="16"/>
      <w:szCs w:val="16"/>
    </w:rPr>
  </w:style>
  <w:style w:type="table" w:styleId="TableGrid">
    <w:name w:val="Table Grid"/>
    <w:basedOn w:val="TableNormal"/>
    <w:uiPriority w:val="59"/>
    <w:rsid w:val="00E02C6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53154"/>
    <w:pPr>
      <w:autoSpaceDE w:val="0"/>
      <w:autoSpaceDN w:val="0"/>
      <w:adjustRightInd w:val="0"/>
      <w:spacing w:line="240" w:lineRule="auto"/>
    </w:pPr>
    <w:rPr>
      <w:rFonts w:ascii="Times New Roman" w:hAnsi="Times New Roman" w:cs="Times New Roman"/>
      <w:color w:val="000000"/>
      <w:sz w:val="24"/>
      <w:szCs w:val="24"/>
    </w:rPr>
  </w:style>
  <w:style w:type="paragraph" w:styleId="BodyText2">
    <w:name w:val="Body Text 2"/>
    <w:basedOn w:val="Normal"/>
    <w:link w:val="BodyText2Char"/>
    <w:rsid w:val="0068368F"/>
    <w:pPr>
      <w:widowControl w:val="0"/>
      <w:autoSpaceDE w:val="0"/>
      <w:autoSpaceDN w:val="0"/>
      <w:adjustRightInd w:val="0"/>
      <w:spacing w:line="240" w:lineRule="auto"/>
      <w:jc w:val="both"/>
    </w:pPr>
    <w:rPr>
      <w:rFonts w:ascii="Times New Roman" w:eastAsia="Times New Roman" w:hAnsi="Times New Roman" w:cs="Times New Roman"/>
      <w:sz w:val="24"/>
      <w:szCs w:val="20"/>
      <w:lang w:eastAsia="ja-JP"/>
    </w:rPr>
  </w:style>
  <w:style w:type="character" w:customStyle="1" w:styleId="BodyText2Char">
    <w:name w:val="Body Text 2 Char"/>
    <w:basedOn w:val="DefaultParagraphFont"/>
    <w:link w:val="BodyText2"/>
    <w:rsid w:val="0068368F"/>
    <w:rPr>
      <w:rFonts w:ascii="Times New Roman" w:eastAsia="Times New Roman" w:hAnsi="Times New Roman" w:cs="Times New Roman"/>
      <w:sz w:val="24"/>
      <w:szCs w:val="20"/>
      <w:lang w:eastAsia="ja-JP"/>
    </w:rPr>
  </w:style>
  <w:style w:type="paragraph" w:styleId="FootnoteText">
    <w:name w:val="footnote text"/>
    <w:basedOn w:val="Normal"/>
    <w:link w:val="FootnoteTextChar"/>
    <w:semiHidden/>
    <w:rsid w:val="0068368F"/>
    <w:pPr>
      <w:spacing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8368F"/>
    <w:rPr>
      <w:rFonts w:ascii="Times New Roman" w:eastAsia="Times New Roman" w:hAnsi="Times New Roman" w:cs="Times New Roman"/>
      <w:sz w:val="20"/>
      <w:szCs w:val="20"/>
    </w:rPr>
  </w:style>
  <w:style w:type="character" w:styleId="FootnoteReference">
    <w:name w:val="footnote reference"/>
    <w:basedOn w:val="DefaultParagraphFont"/>
    <w:semiHidden/>
    <w:rsid w:val="0068368F"/>
    <w:rPr>
      <w:vertAlign w:val="superscript"/>
    </w:rPr>
  </w:style>
  <w:style w:type="paragraph" w:styleId="NormalWeb">
    <w:name w:val="Normal (Web)"/>
    <w:basedOn w:val="Normal"/>
    <w:rsid w:val="00CB7F64"/>
    <w:pPr>
      <w:spacing w:before="100" w:beforeAutospacing="1" w:after="100" w:afterAutospacing="1" w:line="240" w:lineRule="auto"/>
    </w:pPr>
    <w:rPr>
      <w:rFonts w:ascii="Times New Roman" w:eastAsia="Arial Unicode MS" w:hAnsi="Times New Roman" w:cs="Times New Roman"/>
      <w:sz w:val="24"/>
      <w:szCs w:val="20"/>
      <w:lang w:eastAsia="ja-JP"/>
    </w:rPr>
  </w:style>
  <w:style w:type="character" w:styleId="Hyperlink">
    <w:name w:val="Hyperlink"/>
    <w:basedOn w:val="DefaultParagraphFont"/>
    <w:rsid w:val="00CB7F64"/>
    <w:rPr>
      <w:color w:val="0000FF"/>
      <w:u w:val="single"/>
    </w:rPr>
  </w:style>
  <w:style w:type="paragraph" w:styleId="Header">
    <w:name w:val="header"/>
    <w:basedOn w:val="Normal"/>
    <w:link w:val="HeaderChar"/>
    <w:semiHidden/>
    <w:rsid w:val="00CB7F64"/>
    <w:pPr>
      <w:tabs>
        <w:tab w:val="center" w:pos="4320"/>
        <w:tab w:val="right" w:pos="8640"/>
      </w:tabs>
      <w:spacing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semiHidden/>
    <w:rsid w:val="00CB7F64"/>
    <w:rPr>
      <w:rFonts w:ascii="Times New Roman" w:eastAsia="Times New Roman" w:hAnsi="Times New Roman" w:cs="Times New Roman"/>
      <w:sz w:val="20"/>
      <w:szCs w:val="20"/>
    </w:rPr>
  </w:style>
  <w:style w:type="character" w:styleId="Strong">
    <w:name w:val="Strong"/>
    <w:basedOn w:val="DefaultParagraphFont"/>
    <w:qFormat/>
    <w:rsid w:val="00CB7F64"/>
    <w:rPr>
      <w:b/>
      <w:bCs/>
    </w:rPr>
  </w:style>
  <w:style w:type="paragraph" w:styleId="ListParagraph">
    <w:name w:val="List Paragraph"/>
    <w:basedOn w:val="Normal"/>
    <w:uiPriority w:val="34"/>
    <w:qFormat/>
    <w:rsid w:val="00B424CE"/>
    <w:pPr>
      <w:ind w:left="720"/>
      <w:contextualSpacing/>
    </w:pPr>
  </w:style>
  <w:style w:type="paragraph" w:styleId="Footer">
    <w:name w:val="footer"/>
    <w:basedOn w:val="Normal"/>
    <w:link w:val="FooterChar"/>
    <w:uiPriority w:val="99"/>
    <w:unhideWhenUsed/>
    <w:rsid w:val="00C001EC"/>
    <w:pPr>
      <w:tabs>
        <w:tab w:val="center" w:pos="4680"/>
        <w:tab w:val="right" w:pos="9360"/>
      </w:tabs>
      <w:spacing w:line="240" w:lineRule="auto"/>
    </w:pPr>
  </w:style>
  <w:style w:type="character" w:customStyle="1" w:styleId="FooterChar">
    <w:name w:val="Footer Char"/>
    <w:basedOn w:val="DefaultParagraphFont"/>
    <w:link w:val="Footer"/>
    <w:uiPriority w:val="99"/>
    <w:rsid w:val="00C001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23B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3B8"/>
    <w:rPr>
      <w:rFonts w:ascii="Tahoma" w:hAnsi="Tahoma" w:cs="Tahoma"/>
      <w:sz w:val="16"/>
      <w:szCs w:val="16"/>
    </w:rPr>
  </w:style>
  <w:style w:type="table" w:styleId="TableGrid">
    <w:name w:val="Table Grid"/>
    <w:basedOn w:val="TableNormal"/>
    <w:uiPriority w:val="59"/>
    <w:rsid w:val="00E02C6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53154"/>
    <w:pPr>
      <w:autoSpaceDE w:val="0"/>
      <w:autoSpaceDN w:val="0"/>
      <w:adjustRightInd w:val="0"/>
      <w:spacing w:line="240" w:lineRule="auto"/>
    </w:pPr>
    <w:rPr>
      <w:rFonts w:ascii="Times New Roman" w:hAnsi="Times New Roman" w:cs="Times New Roman"/>
      <w:color w:val="000000"/>
      <w:sz w:val="24"/>
      <w:szCs w:val="24"/>
    </w:rPr>
  </w:style>
  <w:style w:type="paragraph" w:styleId="BodyText2">
    <w:name w:val="Body Text 2"/>
    <w:basedOn w:val="Normal"/>
    <w:link w:val="BodyText2Char"/>
    <w:rsid w:val="0068368F"/>
    <w:pPr>
      <w:widowControl w:val="0"/>
      <w:autoSpaceDE w:val="0"/>
      <w:autoSpaceDN w:val="0"/>
      <w:adjustRightInd w:val="0"/>
      <w:spacing w:line="240" w:lineRule="auto"/>
      <w:jc w:val="both"/>
    </w:pPr>
    <w:rPr>
      <w:rFonts w:ascii="Times New Roman" w:eastAsia="Times New Roman" w:hAnsi="Times New Roman" w:cs="Times New Roman"/>
      <w:sz w:val="24"/>
      <w:szCs w:val="20"/>
      <w:lang w:eastAsia="ja-JP"/>
    </w:rPr>
  </w:style>
  <w:style w:type="character" w:customStyle="1" w:styleId="BodyText2Char">
    <w:name w:val="Body Text 2 Char"/>
    <w:basedOn w:val="DefaultParagraphFont"/>
    <w:link w:val="BodyText2"/>
    <w:rsid w:val="0068368F"/>
    <w:rPr>
      <w:rFonts w:ascii="Times New Roman" w:eastAsia="Times New Roman" w:hAnsi="Times New Roman" w:cs="Times New Roman"/>
      <w:sz w:val="24"/>
      <w:szCs w:val="20"/>
      <w:lang w:eastAsia="ja-JP"/>
    </w:rPr>
  </w:style>
  <w:style w:type="paragraph" w:styleId="FootnoteText">
    <w:name w:val="footnote text"/>
    <w:basedOn w:val="Normal"/>
    <w:link w:val="FootnoteTextChar"/>
    <w:semiHidden/>
    <w:rsid w:val="0068368F"/>
    <w:pPr>
      <w:spacing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8368F"/>
    <w:rPr>
      <w:rFonts w:ascii="Times New Roman" w:eastAsia="Times New Roman" w:hAnsi="Times New Roman" w:cs="Times New Roman"/>
      <w:sz w:val="20"/>
      <w:szCs w:val="20"/>
    </w:rPr>
  </w:style>
  <w:style w:type="character" w:styleId="FootnoteReference">
    <w:name w:val="footnote reference"/>
    <w:basedOn w:val="DefaultParagraphFont"/>
    <w:semiHidden/>
    <w:rsid w:val="0068368F"/>
    <w:rPr>
      <w:vertAlign w:val="superscript"/>
    </w:rPr>
  </w:style>
  <w:style w:type="paragraph" w:styleId="NormalWeb">
    <w:name w:val="Normal (Web)"/>
    <w:basedOn w:val="Normal"/>
    <w:rsid w:val="00CB7F64"/>
    <w:pPr>
      <w:spacing w:before="100" w:beforeAutospacing="1" w:after="100" w:afterAutospacing="1" w:line="240" w:lineRule="auto"/>
    </w:pPr>
    <w:rPr>
      <w:rFonts w:ascii="Times New Roman" w:eastAsia="Arial Unicode MS" w:hAnsi="Times New Roman" w:cs="Times New Roman"/>
      <w:sz w:val="24"/>
      <w:szCs w:val="20"/>
      <w:lang w:eastAsia="ja-JP"/>
    </w:rPr>
  </w:style>
  <w:style w:type="character" w:styleId="Hyperlink">
    <w:name w:val="Hyperlink"/>
    <w:basedOn w:val="DefaultParagraphFont"/>
    <w:rsid w:val="00CB7F64"/>
    <w:rPr>
      <w:color w:val="0000FF"/>
      <w:u w:val="single"/>
    </w:rPr>
  </w:style>
  <w:style w:type="paragraph" w:styleId="Header">
    <w:name w:val="header"/>
    <w:basedOn w:val="Normal"/>
    <w:link w:val="HeaderChar"/>
    <w:semiHidden/>
    <w:rsid w:val="00CB7F64"/>
    <w:pPr>
      <w:tabs>
        <w:tab w:val="center" w:pos="4320"/>
        <w:tab w:val="right" w:pos="8640"/>
      </w:tabs>
      <w:spacing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semiHidden/>
    <w:rsid w:val="00CB7F64"/>
    <w:rPr>
      <w:rFonts w:ascii="Times New Roman" w:eastAsia="Times New Roman" w:hAnsi="Times New Roman" w:cs="Times New Roman"/>
      <w:sz w:val="20"/>
      <w:szCs w:val="20"/>
    </w:rPr>
  </w:style>
  <w:style w:type="character" w:styleId="Strong">
    <w:name w:val="Strong"/>
    <w:basedOn w:val="DefaultParagraphFont"/>
    <w:qFormat/>
    <w:rsid w:val="00CB7F64"/>
    <w:rPr>
      <w:b/>
      <w:bCs/>
    </w:rPr>
  </w:style>
  <w:style w:type="paragraph" w:styleId="ListParagraph">
    <w:name w:val="List Paragraph"/>
    <w:basedOn w:val="Normal"/>
    <w:uiPriority w:val="34"/>
    <w:qFormat/>
    <w:rsid w:val="00B424CE"/>
    <w:pPr>
      <w:ind w:left="720"/>
      <w:contextualSpacing/>
    </w:pPr>
  </w:style>
  <w:style w:type="paragraph" w:styleId="Footer">
    <w:name w:val="footer"/>
    <w:basedOn w:val="Normal"/>
    <w:link w:val="FooterChar"/>
    <w:uiPriority w:val="99"/>
    <w:unhideWhenUsed/>
    <w:rsid w:val="00C001EC"/>
    <w:pPr>
      <w:tabs>
        <w:tab w:val="center" w:pos="4680"/>
        <w:tab w:val="right" w:pos="9360"/>
      </w:tabs>
      <w:spacing w:line="240" w:lineRule="auto"/>
    </w:pPr>
  </w:style>
  <w:style w:type="character" w:customStyle="1" w:styleId="FooterChar">
    <w:name w:val="Footer Char"/>
    <w:basedOn w:val="DefaultParagraphFont"/>
    <w:link w:val="Footer"/>
    <w:uiPriority w:val="99"/>
    <w:rsid w:val="00C001EC"/>
  </w:style>
</w:styles>
</file>

<file path=word/webSettings.xml><?xml version="1.0" encoding="utf-8"?>
<w:webSettings xmlns:r="http://schemas.openxmlformats.org/officeDocument/2006/relationships" xmlns:w="http://schemas.openxmlformats.org/wordprocessingml/2006/main">
  <w:divs>
    <w:div w:id="97873110">
      <w:bodyDiv w:val="1"/>
      <w:marLeft w:val="60"/>
      <w:marRight w:val="60"/>
      <w:marTop w:val="60"/>
      <w:marBottom w:val="15"/>
      <w:divBdr>
        <w:top w:val="none" w:sz="0" w:space="0" w:color="auto"/>
        <w:left w:val="none" w:sz="0" w:space="0" w:color="auto"/>
        <w:bottom w:val="none" w:sz="0" w:space="0" w:color="auto"/>
        <w:right w:val="none" w:sz="0" w:space="0" w:color="auto"/>
      </w:divBdr>
      <w:divsChild>
        <w:div w:id="2101633021">
          <w:marLeft w:val="0"/>
          <w:marRight w:val="0"/>
          <w:marTop w:val="0"/>
          <w:marBottom w:val="0"/>
          <w:divBdr>
            <w:top w:val="none" w:sz="0" w:space="0" w:color="auto"/>
            <w:left w:val="none" w:sz="0" w:space="0" w:color="auto"/>
            <w:bottom w:val="none" w:sz="0" w:space="0" w:color="auto"/>
            <w:right w:val="none" w:sz="0" w:space="0" w:color="auto"/>
          </w:divBdr>
        </w:div>
        <w:div w:id="512955182">
          <w:marLeft w:val="0"/>
          <w:marRight w:val="0"/>
          <w:marTop w:val="0"/>
          <w:marBottom w:val="0"/>
          <w:divBdr>
            <w:top w:val="none" w:sz="0" w:space="0" w:color="auto"/>
            <w:left w:val="none" w:sz="0" w:space="0" w:color="auto"/>
            <w:bottom w:val="none" w:sz="0" w:space="0" w:color="auto"/>
            <w:right w:val="none" w:sz="0" w:space="0" w:color="auto"/>
          </w:divBdr>
        </w:div>
        <w:div w:id="1512719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su.edu/policies/employment/faculty/REG05.20.35.php"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ncsu.edu/policies/employment/faculty/REG05.20.35.php" TargetMode="Externa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1081</Words>
  <Characters>6165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sssnyder</dc:creator>
  <cp:lastModifiedBy> </cp:lastModifiedBy>
  <cp:revision>2</cp:revision>
  <cp:lastPrinted>2012-02-16T18:11:00Z</cp:lastPrinted>
  <dcterms:created xsi:type="dcterms:W3CDTF">2012-02-16T20:56:00Z</dcterms:created>
  <dcterms:modified xsi:type="dcterms:W3CDTF">2012-02-16T20:56:00Z</dcterms:modified>
</cp:coreProperties>
</file>