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NC TEACH at NC State – Lateral Entry Program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Applications due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March 15</w:t>
      </w:r>
      <w:r w:rsidDel="00000000" w:rsidR="00000000" w:rsidRPr="00000000">
        <w:rPr>
          <w:rFonts w:ascii="Calibri" w:cs="Calibri" w:eastAsia="Calibri" w:hAnsi="Calibri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, 2016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(both the online form and supplemental/mail-in packet – applications are incomplete without all admissions materials).  Do not send transcripts separately - put them in the mail-in packet.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Application requirements: </w:t>
      </w:r>
      <w:hyperlink r:id="rId5">
        <w:r w:rsidDel="00000000" w:rsidR="00000000" w:rsidRPr="00000000">
          <w:rPr>
            <w:color w:val="0000ff"/>
            <w:u w:val="single"/>
            <w:rtl w:val="0"/>
          </w:rPr>
          <w:t xml:space="preserve">https://ced.ncsu.edu/nc-teach/apply/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Are you eligible?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https://ced.ncsu.edu/nc-teach/eligibility-cost/</w:t>
        </w:r>
      </w:hyperlink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Schedule of Classes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855.0" w:type="dxa"/>
        <w:jc w:val="center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1"/>
        <w:gridCol w:w="1771"/>
        <w:gridCol w:w="1771"/>
        <w:gridCol w:w="1771"/>
        <w:gridCol w:w="1771"/>
        <w:tblGridChange w:id="0">
          <w:tblGrid>
            <w:gridCol w:w="1771"/>
            <w:gridCol w:w="1771"/>
            <w:gridCol w:w="1771"/>
            <w:gridCol w:w="1771"/>
            <w:gridCol w:w="177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Course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Location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Time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ECI 471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Summer I 2016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Summer I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2016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Athens Drive High School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Mondays and Wednesdays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6:30-9:30pm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ECI 472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Summer II 2016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Summer II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2016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Athens Drive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High School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Or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Sanderson High School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Mondays and Wednesdays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6:30-9:30pm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ECI 473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Fall 2016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Fall, one night a week (Thursdays)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Athens Drive High School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Or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Sanderson High School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6:30-9:30pm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ECI 474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Fall 2016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Fall, one Sat. a month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NC State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9am-1pm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ECI 475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Spring 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Spring 2017, one night a week (Thursdays)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Athens Drive High School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Or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Sanderson High School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6:30-9:30pm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ECI 476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Spring 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Spring 2017, one Sat. a month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NC State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9am-1pm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Other NC TEACH Licensure Requirements*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Passing Praxis II scores (or ACTFL scores if Chinese licensure teacher):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All students must pass the Praxis II in their content area (subject area/level)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Specific test are found at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https://www.ets.org/praxis/nc/requirements</w:t>
        </w:r>
      </w:hyperlink>
      <w:hyperlink r:id="rId1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For high school science, candidates take the Comprehensive Science exam.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Remaining content coursework (as determined by transcript review upon application)**.  These courses can be taken at a community college or online university.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One year of successful teaching on a Provisional License at a public/charter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*Students attend an Orientation before starting the program.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**Upon acceptance, students are written an individualized Plan of Study. 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s://www.ets.org/praxis/nc/requirements" TargetMode="External"/><Relationship Id="rId10" Type="http://schemas.openxmlformats.org/officeDocument/2006/relationships/hyperlink" Target="https://www.ets.org/praxis/nc/requirements" TargetMode="External"/><Relationship Id="rId9" Type="http://schemas.openxmlformats.org/officeDocument/2006/relationships/hyperlink" Target="https://registrar.ncsu.edu/calendars/academic/#summerii" TargetMode="External"/><Relationship Id="rId5" Type="http://schemas.openxmlformats.org/officeDocument/2006/relationships/hyperlink" Target="https://ced.ncsu.edu/nc-teach/apply/" TargetMode="External"/><Relationship Id="rId6" Type="http://schemas.openxmlformats.org/officeDocument/2006/relationships/hyperlink" Target="https://ced.ncsu.edu/nc-teach/eligibility-cost/" TargetMode="External"/><Relationship Id="rId7" Type="http://schemas.openxmlformats.org/officeDocument/2006/relationships/hyperlink" Target="https://ced.ncsu.edu/nc-teach/eligibility-cost/" TargetMode="External"/><Relationship Id="rId8" Type="http://schemas.openxmlformats.org/officeDocument/2006/relationships/hyperlink" Target="https://registrar.ncsu.edu/calendars/academic/#summeri" TargetMode="External"/></Relationships>
</file>